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36"/>
        <w:ind w:firstLine="300"/>
        <w:spacing w:line="360" w:lineRule="auto"/>
        <w:rPr>
          <w:sz w:val="60"/>
          <w:szCs w:val="60"/>
        </w:rPr>
      </w:pPr>
      <w:r>
        <w:rPr>
          <w:sz w:val="60"/>
          <w:szCs w:val="60"/>
        </w:rPr>
      </w:r>
      <w:r/>
    </w:p>
    <w:p>
      <w:pPr>
        <w:pStyle w:val="1136"/>
        <w:jc w:val="center"/>
        <w:rPr>
          <w:b/>
          <w:bCs/>
          <w:sz w:val="60"/>
          <w:szCs w:val="60"/>
        </w:rPr>
      </w:pPr>
      <w:r>
        <w:rPr>
          <w:rFonts w:hint="eastAsia"/>
          <w:b/>
          <w:bCs/>
          <w:sz w:val="60"/>
          <w:szCs w:val="60"/>
        </w:rPr>
        <w:t xml:space="preserve">竞争性磋商文件</w:t>
      </w:r>
      <w:r>
        <w:rPr>
          <w:b/>
          <w:bCs/>
          <w:sz w:val="60"/>
          <w:szCs w:val="60"/>
        </w:rPr>
      </w:r>
      <w:r/>
    </w:p>
    <w:p>
      <w:pPr>
        <w:pStyle w:val="1136"/>
        <w:jc w:val="center"/>
        <w:spacing w:line="360" w:lineRule="auto"/>
        <w:rPr>
          <w:rFonts w:ascii="宋体" w:hAnsi="宋体"/>
          <w:b/>
          <w:bCs/>
          <w:sz w:val="60"/>
          <w:szCs w:val="60"/>
        </w:rPr>
      </w:pPr>
      <w:r>
        <w:rPr>
          <w:rFonts w:ascii="宋体" w:hAnsi="宋体"/>
          <w:b/>
          <w:bCs/>
          <w:sz w:val="60"/>
          <w:szCs w:val="60"/>
        </w:rPr>
      </w:r>
      <w:r/>
    </w:p>
    <w:p>
      <w:pPr>
        <w:pStyle w:val="1136"/>
        <w:jc w:val="center"/>
        <w:spacing w:line="360" w:lineRule="auto"/>
        <w:rPr>
          <w:rFonts w:ascii="宋体" w:hAnsi="宋体"/>
          <w:b/>
          <w:bCs/>
          <w:sz w:val="60"/>
          <w:szCs w:val="60"/>
        </w:rPr>
      </w:pPr>
      <w:r>
        <w:rPr>
          <w:rFonts w:ascii="宋体" w:hAnsi="宋体"/>
          <w:b/>
          <w:bCs/>
          <w:sz w:val="60"/>
          <w:szCs w:val="60"/>
        </w:rPr>
      </w:r>
      <w:r/>
    </w:p>
    <w:p>
      <w:pPr>
        <w:pStyle w:val="1136"/>
        <w:ind w:firstLine="1280"/>
        <w:jc w:val="left"/>
        <w:spacing w:line="360" w:lineRule="auto"/>
        <w:tabs>
          <w:tab w:val="left" w:pos="3240" w:leader="none"/>
          <w:tab w:val="left" w:pos="3420" w:leader="none"/>
        </w:tabs>
        <w:rPr>
          <w:rFonts w:hint="eastAsia" w:ascii="Times New Roman" w:hAnsi="Times New Roman" w:eastAsia="宋体" w:cs="Times New Roman"/>
          <w:bCs/>
          <w:sz w:val="32"/>
          <w:szCs w:val="32"/>
          <w:lang w:eastAsia="zh-CN"/>
        </w:rPr>
      </w:pPr>
      <w:r>
        <w:rPr>
          <w:bCs/>
          <w:sz w:val="32"/>
          <w:szCs w:val="32"/>
        </w:rPr>
        <w:t xml:space="preserve">项目名称</w:t>
      </w:r>
      <w:r>
        <w:rPr>
          <w:rFonts w:hint="eastAsia"/>
          <w:bCs/>
          <w:sz w:val="32"/>
          <w:szCs w:val="32"/>
        </w:rPr>
        <w:t xml:space="preserve">：</w:t>
      </w:r>
      <w:r>
        <w:rPr>
          <w:rFonts w:hint="eastAsia" w:ascii="Times New Roman" w:hAnsi="Times New Roman" w:eastAsia="宋体" w:cs="Times New Roman"/>
          <w:bCs/>
          <w:sz w:val="32"/>
          <w:szCs w:val="32"/>
          <w:lang w:eastAsia="zh-CN"/>
        </w:rPr>
        <w:t xml:space="preserve">常州市自行车队溧阳曹山训练</w:t>
      </w:r>
      <w:r>
        <w:rPr>
          <w:rFonts w:hint="eastAsia" w:ascii="Times New Roman" w:hAnsi="Times New Roman" w:eastAsia="宋体" w:cs="Times New Roman"/>
          <w:bCs/>
          <w:sz w:val="32"/>
          <w:szCs w:val="32"/>
          <w:lang w:eastAsia="zh-CN"/>
        </w:rPr>
      </w:r>
      <w:r/>
    </w:p>
    <w:p>
      <w:pPr>
        <w:pStyle w:val="1136"/>
        <w:ind w:firstLine="2880"/>
        <w:jc w:val="left"/>
        <w:spacing w:line="360" w:lineRule="auto"/>
        <w:tabs>
          <w:tab w:val="left" w:pos="3240" w:leader="none"/>
          <w:tab w:val="left" w:pos="3420" w:leader="none"/>
        </w:tabs>
        <w:rPr>
          <w:rFonts w:hint="eastAsia" w:ascii="宋体" w:hAnsi="宋体" w:cs="宋体"/>
          <w:sz w:val="32"/>
          <w:szCs w:val="32"/>
          <w:lang w:eastAsia="zh-CN"/>
        </w:rPr>
      </w:pPr>
      <w:r>
        <w:rPr>
          <w:rFonts w:hint="eastAsia" w:ascii="Times New Roman" w:hAnsi="Times New Roman" w:eastAsia="宋体" w:cs="Times New Roman"/>
          <w:bCs/>
          <w:sz w:val="32"/>
          <w:szCs w:val="32"/>
          <w:lang w:eastAsia="zh-CN"/>
        </w:rPr>
        <w:t xml:space="preserve">基地食品原材料采购及配送服务项目</w:t>
      </w:r>
      <w:r>
        <w:rPr>
          <w:rFonts w:hint="eastAsia" w:ascii="宋体" w:hAnsi="宋体" w:cs="宋体"/>
          <w:sz w:val="32"/>
          <w:szCs w:val="32"/>
          <w:lang w:eastAsia="zh-CN"/>
        </w:rPr>
      </w:r>
      <w:r/>
    </w:p>
    <w:p>
      <w:pPr>
        <w:pStyle w:val="1136"/>
        <w:ind w:firstLine="1280"/>
        <w:jc w:val="left"/>
        <w:spacing w:line="360" w:lineRule="auto"/>
        <w:tabs>
          <w:tab w:val="left" w:pos="3240" w:leader="none"/>
          <w:tab w:val="left" w:pos="3420"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项目编号：</w:t>
      </w:r>
      <w:r>
        <w:rPr>
          <w:rFonts w:hint="eastAsia" w:ascii="Times New Roman" w:hAnsi="Times New Roman" w:eastAsia="宋体" w:cs="Times New Roman"/>
          <w:bCs/>
          <w:sz w:val="32"/>
          <w:szCs w:val="32"/>
          <w:lang w:eastAsia="zh-CN"/>
        </w:rPr>
        <w:t xml:space="preserve">JSZC-320400-CZZH-C2025-0077</w:t>
      </w:r>
      <w:r>
        <w:rPr>
          <w:rFonts w:hint="eastAsia" w:ascii="宋体" w:hAnsi="宋体" w:eastAsia="宋体" w:cs="宋体"/>
          <w:sz w:val="32"/>
          <w:szCs w:val="32"/>
          <w:highlight w:val="none"/>
        </w:rPr>
      </w:r>
      <w:r/>
    </w:p>
    <w:p>
      <w:pPr>
        <w:pStyle w:val="1136"/>
        <w:ind w:firstLine="1280"/>
        <w:spacing w:line="360" w:lineRule="auto"/>
        <w:rPr>
          <w:rFonts w:hint="eastAsia" w:eastAsia="宋体"/>
          <w:bCs/>
          <w:sz w:val="32"/>
          <w:szCs w:val="32"/>
          <w:lang w:eastAsia="zh-CN"/>
        </w:rPr>
      </w:pPr>
      <w:r>
        <w:rPr>
          <w:bCs/>
          <w:sz w:val="32"/>
          <w:szCs w:val="32"/>
        </w:rPr>
        <w:t xml:space="preserve">采 购 人：</w:t>
      </w:r>
      <w:r>
        <w:rPr>
          <w:rFonts w:hint="eastAsia" w:ascii="宋体" w:hAnsi="宋体" w:cs="宋体"/>
          <w:sz w:val="32"/>
          <w:szCs w:val="32"/>
          <w:lang w:eastAsia="zh-CN"/>
        </w:rPr>
        <w:t xml:space="preserve">江苏省常州体育运动学校</w:t>
      </w:r>
      <w:r>
        <w:rPr>
          <w:rFonts w:hint="eastAsia" w:eastAsia="宋体"/>
          <w:bCs/>
          <w:sz w:val="32"/>
          <w:szCs w:val="32"/>
          <w:lang w:eastAsia="zh-CN"/>
        </w:rPr>
      </w:r>
      <w:r/>
    </w:p>
    <w:p>
      <w:pPr>
        <w:pStyle w:val="1136"/>
        <w:ind w:firstLine="1280"/>
        <w:spacing w:line="360" w:lineRule="auto"/>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1136"/>
        <w:ind w:firstLine="1280"/>
        <w:spacing w:line="360" w:lineRule="auto"/>
        <w:rPr>
          <w:rFonts w:ascii="宋体" w:hAnsi="宋体" w:cs="宋体"/>
          <w:bCs/>
          <w:sz w:val="32"/>
          <w:szCs w:val="32"/>
        </w:rPr>
      </w:pPr>
      <w:r>
        <w:rPr>
          <w:rFonts w:ascii="宋体" w:hAnsi="宋体" w:cs="宋体"/>
          <w:bCs/>
          <w:sz w:val="32"/>
          <w:szCs w:val="32"/>
        </w:rPr>
      </w:r>
      <w:r/>
    </w:p>
    <w:p>
      <w:pPr>
        <w:pStyle w:val="1136"/>
        <w:ind w:firstLine="3200"/>
        <w:spacing w:line="360" w:lineRule="auto"/>
        <w:rPr>
          <w:rFonts w:ascii="宋体" w:hAnsi="宋体" w:cs="宋体"/>
          <w:bCs/>
          <w:sz w:val="32"/>
          <w:szCs w:val="32"/>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五</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十二</w:t>
      </w:r>
      <w:r>
        <w:rPr>
          <w:rFonts w:hint="eastAsia" w:ascii="宋体" w:hAnsi="宋体" w:cs="宋体"/>
          <w:bCs/>
          <w:sz w:val="32"/>
          <w:szCs w:val="32"/>
        </w:rPr>
        <w:t xml:space="preserve">月</w:t>
      </w:r>
      <w:r>
        <w:rPr>
          <w:rFonts w:ascii="宋体" w:hAnsi="宋体" w:cs="宋体"/>
          <w:bCs/>
          <w:sz w:val="32"/>
          <w:szCs w:val="32"/>
        </w:rPr>
      </w:r>
      <w:r/>
    </w:p>
    <w:p>
      <w:pPr>
        <w:pStyle w:val="1218"/>
        <w:ind w:firstLine="480"/>
      </w:pPr>
      <w:r/>
      <w:r/>
    </w:p>
    <w:p>
      <w:pPr>
        <w:pStyle w:val="1148"/>
        <w:spacing w:line="360" w:lineRule="auto"/>
        <w:rPr>
          <w:rFonts w:ascii="Times New Roman" w:hAnsi="Times New Roman" w:cs="Times New Roman"/>
        </w:rPr>
      </w:pPr>
      <w:r>
        <w:rPr>
          <w:rFonts w:ascii="Times New Roman" w:hAnsi="Times New Roman" w:cs="Times New Roman"/>
        </w:rPr>
      </w:r>
      <w:r/>
    </w:p>
    <w:p>
      <w:pPr>
        <w:pStyle w:val="1136"/>
        <w:jc w:val="center"/>
        <w:spacing w:line="360" w:lineRule="auto"/>
        <w:rPr>
          <w:b/>
          <w:sz w:val="36"/>
          <w:szCs w:val="36"/>
        </w:rPr>
        <w:outlineLvl w:val="0"/>
      </w:pPr>
      <w:r/>
      <w:bookmarkStart w:id="0" w:name="_Toc31599"/>
      <w:r/>
      <w:bookmarkStart w:id="1" w:name="_Toc7787"/>
      <w:r/>
      <w:bookmarkStart w:id="2"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Pr>
          <w:b/>
          <w:sz w:val="36"/>
          <w:szCs w:val="36"/>
        </w:rPr>
      </w:r>
      <w:r/>
    </w:p>
    <w:p>
      <w:pPr>
        <w:pStyle w:val="1136"/>
      </w:pPr>
      <w:r/>
      <w:r/>
    </w:p>
    <w:p>
      <w:pPr>
        <w:pStyle w:val="1136"/>
      </w:pPr>
      <w:r/>
      <w:r/>
    </w:p>
    <w:p>
      <w:pPr>
        <w:pStyle w:val="1136"/>
      </w:pPr>
      <w:r/>
      <w:r/>
    </w:p>
    <w:p>
      <w:pPr>
        <w:pStyle w:val="1136"/>
      </w:pPr>
      <w:r/>
      <w:r/>
    </w:p>
    <w:p>
      <w:pPr>
        <w:pStyle w:val="1190"/>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_Toc7787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rPr>
        <w:t xml:space="preserve"> 录</w:t>
      </w:r>
      <w:r>
        <w:tab/>
      </w:r>
      <w:r>
        <w:fldChar w:fldCharType="begin"/>
      </w:r>
      <w:r>
        <w:instrText xml:space="preserve"> PAGEREF _Toc7787 \h </w:instrText>
      </w:r>
      <w:r>
        <w:fldChar w:fldCharType="separate"/>
      </w:r>
      <w:r>
        <w:t xml:space="preserve">1</w:t>
      </w:r>
      <w:r>
        <w:fldChar w:fldCharType="end"/>
      </w:r>
      <w:r>
        <w:rPr>
          <w:rFonts w:ascii="Times New Roman" w:hAnsi="Times New Roman"/>
        </w:rPr>
        <w:fldChar w:fldCharType="end"/>
      </w:r>
      <w:r/>
    </w:p>
    <w:p>
      <w:pPr>
        <w:pStyle w:val="1190"/>
        <w:tabs>
          <w:tab w:val="right" w:pos="9072" w:leader="dot"/>
        </w:tabs>
      </w:pPr>
      <w:r>
        <w:rPr>
          <w:rFonts w:ascii="Times New Roman" w:hAnsi="Times New Roman"/>
        </w:rPr>
        <w:fldChar w:fldCharType="begin"/>
      </w:r>
      <w:r>
        <w:rPr>
          <w:rFonts w:ascii="Times New Roman" w:hAnsi="Times New Roman"/>
        </w:rPr>
        <w:instrText xml:space="preserve"> HYPERLINK \l _Toc8395 </w:instrText>
      </w:r>
      <w:r>
        <w:rPr>
          <w:rFonts w:ascii="Times New Roman" w:hAnsi="Times New Roman"/>
        </w:rPr>
        <w:fldChar w:fldCharType="separate"/>
      </w:r>
      <w:r>
        <w:rPr>
          <w:szCs w:val="36"/>
        </w:rPr>
        <w:t xml:space="preserve">第一章  </w:t>
      </w:r>
      <w:r>
        <w:rPr>
          <w:rFonts w:hint="eastAsia"/>
          <w:szCs w:val="36"/>
        </w:rPr>
        <w:t xml:space="preserve"> 竞争性磋商公告</w:t>
      </w:r>
      <w:r>
        <w:tab/>
      </w:r>
      <w:r>
        <w:rPr>
          <w:rFonts w:hint="eastAsia"/>
        </w:rPr>
        <w:t xml:space="preserve">2</w:t>
      </w:r>
      <w:r>
        <w:rPr>
          <w:rFonts w:ascii="Times New Roman" w:hAnsi="Times New Roman"/>
        </w:rPr>
        <w:fldChar w:fldCharType="end"/>
      </w:r>
      <w:r/>
    </w:p>
    <w:p>
      <w:pPr>
        <w:pStyle w:val="1190"/>
        <w:tabs>
          <w:tab w:val="right" w:pos="9072" w:leader="dot"/>
        </w:tabs>
      </w:pPr>
      <w:r>
        <w:rPr>
          <w:rFonts w:ascii="Times New Roman" w:hAnsi="Times New Roman"/>
        </w:rPr>
        <w:fldChar w:fldCharType="begin"/>
      </w:r>
      <w:r>
        <w:rPr>
          <w:rFonts w:ascii="Times New Roman" w:hAnsi="Times New Roman"/>
        </w:rPr>
        <w:instrText xml:space="preserve"> HYPERLINK \l _Toc6690 </w:instrText>
      </w:r>
      <w:r>
        <w:rPr>
          <w:rFonts w:ascii="Times New Roman" w:hAnsi="Times New Roman"/>
        </w:rPr>
        <w:fldChar w:fldCharType="separate"/>
      </w:r>
      <w:r>
        <w:rPr>
          <w:szCs w:val="36"/>
        </w:rPr>
        <w:t xml:space="preserve">第二章   供应商须知</w:t>
      </w:r>
      <w:r>
        <w:tab/>
      </w:r>
      <w:r>
        <w:rPr>
          <w:rFonts w:hint="eastAsia"/>
        </w:rPr>
        <w:t xml:space="preserve">5</w:t>
      </w:r>
      <w:r>
        <w:rPr>
          <w:rFonts w:ascii="Times New Roman" w:hAnsi="Times New Roman"/>
        </w:rPr>
        <w:fldChar w:fldCharType="end"/>
      </w:r>
      <w:r/>
    </w:p>
    <w:p>
      <w:pPr>
        <w:pStyle w:val="1190"/>
        <w:tabs>
          <w:tab w:val="right" w:pos="9072" w:leader="dot"/>
        </w:tabs>
      </w:pPr>
      <w:r>
        <w:rPr>
          <w:rFonts w:ascii="Times New Roman" w:hAnsi="Times New Roman"/>
        </w:rPr>
        <w:fldChar w:fldCharType="begin"/>
      </w:r>
      <w:r>
        <w:rPr>
          <w:rFonts w:ascii="Times New Roman" w:hAnsi="Times New Roman"/>
        </w:rPr>
        <w:instrText xml:space="preserve"> HYPERLINK \l _Toc20589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_Toc20589 \h </w:instrText>
      </w:r>
      <w:r>
        <w:fldChar w:fldCharType="separate"/>
      </w:r>
      <w:r>
        <w:t xml:space="preserve">20</w:t>
      </w:r>
      <w:r>
        <w:fldChar w:fldCharType="end"/>
      </w:r>
      <w:r>
        <w:rPr>
          <w:rFonts w:ascii="Times New Roman" w:hAnsi="Times New Roman"/>
        </w:rPr>
        <w:fldChar w:fldCharType="end"/>
      </w:r>
      <w:r/>
    </w:p>
    <w:p>
      <w:pPr>
        <w:pStyle w:val="1190"/>
        <w:tabs>
          <w:tab w:val="right" w:pos="9072" w:leader="dot"/>
        </w:tabs>
        <w:rPr>
          <w:rFonts w:hint="eastAsia" w:eastAsia="宋体"/>
          <w:lang w:val="en-US" w:eastAsia="zh-CN"/>
        </w:rPr>
      </w:pPr>
      <w:r>
        <w:rPr>
          <w:rFonts w:ascii="Times New Roman" w:hAnsi="Times New Roman"/>
        </w:rPr>
        <w:fldChar w:fldCharType="begin"/>
      </w:r>
      <w:r>
        <w:rPr>
          <w:rFonts w:ascii="Times New Roman" w:hAnsi="Times New Roman"/>
        </w:rPr>
        <w:instrText xml:space="preserve"> HYPERLINK \l _Toc7049 </w:instrText>
      </w:r>
      <w:r>
        <w:rPr>
          <w:rFonts w:ascii="Times New Roman" w:hAnsi="Times New Roman"/>
        </w:rPr>
        <w:fldChar w:fldCharType="separate"/>
      </w:r>
      <w:r>
        <w:rPr>
          <w:rFonts w:hint="eastAsia"/>
          <w:szCs w:val="36"/>
        </w:rPr>
        <w:t xml:space="preserve">第四章 </w:t>
      </w:r>
      <w:r>
        <w:rPr>
          <w:szCs w:val="36"/>
        </w:rPr>
        <w:t xml:space="preserve">  采购需求</w:t>
      </w:r>
      <w:r>
        <w:tab/>
      </w:r>
      <w:r>
        <w:rPr>
          <w:rFonts w:hint="eastAsia"/>
          <w:lang w:val="en-US" w:eastAsia="zh-CN"/>
        </w:rPr>
        <w:t xml:space="preserve">3</w:t>
      </w:r>
      <w:r>
        <w:rPr>
          <w:rFonts w:ascii="Times New Roman" w:hAnsi="Times New Roman"/>
        </w:rPr>
        <w:fldChar w:fldCharType="end"/>
      </w:r>
      <w:r>
        <w:rPr>
          <w:rFonts w:hint="eastAsia" w:ascii="Times New Roman" w:hAnsi="Times New Roman"/>
          <w:lang w:val="en-US" w:eastAsia="zh-CN"/>
        </w:rPr>
        <w:t xml:space="preserve">0</w:t>
      </w:r>
      <w:r>
        <w:rPr>
          <w:rFonts w:hint="eastAsia" w:eastAsia="宋体"/>
          <w:lang w:val="en-US" w:eastAsia="zh-CN"/>
        </w:rPr>
      </w:r>
      <w:r/>
    </w:p>
    <w:p>
      <w:pPr>
        <w:pStyle w:val="1190"/>
        <w:tabs>
          <w:tab w:val="right" w:pos="9072" w:leader="dot"/>
        </w:tabs>
      </w:pPr>
      <w:r>
        <w:rPr>
          <w:rFonts w:ascii="Times New Roman" w:hAnsi="Times New Roman"/>
        </w:rPr>
        <w:fldChar w:fldCharType="begin"/>
      </w:r>
      <w:r>
        <w:rPr>
          <w:rFonts w:ascii="Times New Roman" w:hAnsi="Times New Roman"/>
        </w:rPr>
        <w:instrText xml:space="preserve"> HYPERLINK \l _Toc12649 </w:instrText>
      </w:r>
      <w:r>
        <w:rPr>
          <w:rFonts w:ascii="Times New Roman" w:hAnsi="Times New Roman"/>
        </w:rPr>
        <w:fldChar w:fldCharType="separate"/>
      </w:r>
      <w:r>
        <w:rPr>
          <w:szCs w:val="36"/>
        </w:rPr>
        <w:t xml:space="preserve">第五章   合同</w:t>
      </w:r>
      <w:r>
        <w:rPr>
          <w:rFonts w:hint="eastAsia"/>
          <w:szCs w:val="36"/>
        </w:rPr>
        <w:t xml:space="preserve">主要</w:t>
      </w:r>
      <w:r>
        <w:rPr>
          <w:szCs w:val="36"/>
        </w:rPr>
        <w:t xml:space="preserve">条款</w:t>
      </w:r>
      <w:r>
        <w:tab/>
      </w:r>
      <w:r>
        <w:fldChar w:fldCharType="begin"/>
      </w:r>
      <w:r>
        <w:instrText xml:space="preserve"> PAGEREF _Toc12649 \h </w:instrText>
      </w:r>
      <w:r>
        <w:fldChar w:fldCharType="separate"/>
      </w:r>
      <w:r>
        <w:t xml:space="preserve">28</w:t>
      </w:r>
      <w:r>
        <w:fldChar w:fldCharType="end"/>
      </w:r>
      <w:r>
        <w:rPr>
          <w:rFonts w:ascii="Times New Roman" w:hAnsi="Times New Roman"/>
        </w:rPr>
        <w:fldChar w:fldCharType="end"/>
      </w:r>
      <w:r/>
    </w:p>
    <w:p>
      <w:pPr>
        <w:pStyle w:val="1190"/>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_Toc1692 </w:instrText>
      </w:r>
      <w:r>
        <w:rPr>
          <w:rFonts w:ascii="Times New Roman" w:hAnsi="Times New Roman"/>
        </w:rPr>
        <w:fldChar w:fldCharType="separate"/>
      </w:r>
      <w:r>
        <w:rPr>
          <w:szCs w:val="36"/>
        </w:rPr>
        <w:t xml:space="preserve">第六章   响应文件格式</w:t>
      </w:r>
      <w:r>
        <w:tab/>
      </w:r>
      <w:r>
        <w:rPr>
          <w:rFonts w:hint="eastAsia"/>
        </w:rPr>
        <w:t xml:space="preserve">3</w:t>
      </w:r>
      <w:r>
        <w:rPr>
          <w:rFonts w:ascii="Times New Roman" w:hAnsi="Times New Roman"/>
        </w:rPr>
        <w:fldChar w:fldCharType="end"/>
      </w:r>
      <w:r>
        <w:rPr>
          <w:rFonts w:hint="eastAsia" w:ascii="Times New Roman" w:hAnsi="Times New Roman"/>
        </w:rPr>
        <w:t xml:space="preserve">5</w:t>
      </w:r>
      <w:r>
        <w:rPr>
          <w:rFonts w:hint="eastAsia"/>
        </w:rPr>
      </w:r>
      <w:r/>
    </w:p>
    <w:p>
      <w:pPr>
        <w:pStyle w:val="1190"/>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190"/>
        <w:spacing w:line="360" w:lineRule="auto"/>
        <w:tabs>
          <w:tab w:val="left" w:pos="1050" w:leader="none"/>
          <w:tab w:val="right" w:pos="8937" w:leader="dot"/>
        </w:tabs>
        <w:rPr>
          <w:b w:val="0"/>
          <w:sz w:val="36"/>
          <w:szCs w:val="36"/>
        </w:rPr>
      </w:pPr>
      <w:r>
        <w:rPr>
          <w:b w:val="0"/>
          <w:sz w:val="36"/>
          <w:szCs w:val="36"/>
        </w:rPr>
      </w:r>
      <w:r/>
    </w:p>
    <w:p>
      <w:pPr>
        <w:pStyle w:val="1136"/>
        <w:jc w:val="center"/>
        <w:spacing w:line="360" w:lineRule="auto"/>
        <w:rPr>
          <w:b/>
          <w:sz w:val="36"/>
          <w:szCs w:val="36"/>
        </w:rPr>
        <w:sectPr>
          <w:headerReference w:type="default" r:id="rId11"/>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r>
      <w:r/>
    </w:p>
    <w:p>
      <w:pPr>
        <w:pStyle w:val="1136"/>
        <w:ind w:firstLine="480"/>
        <w:spacing w:line="360" w:lineRule="auto"/>
        <w:rPr>
          <w:sz w:val="24"/>
        </w:rPr>
      </w:pPr>
      <w:r/>
      <w:bookmarkStart w:id="3" w:name="_Toc28359079"/>
      <w:r/>
      <w:bookmarkStart w:id="4" w:name="_Toc35393621"/>
      <w:r/>
      <w:bookmarkStart w:id="5" w:name="_Hlk24379207"/>
      <w:r/>
      <w:bookmarkStart w:id="6" w:name="_Toc28359002"/>
      <w:r/>
      <w:bookmarkStart w:id="7" w:name="_Toc35393790"/>
      <w:r>
        <w:rPr>
          <w:sz w:val="24"/>
        </w:rPr>
      </w:r>
      <w:r/>
    </w:p>
    <w:p>
      <w:pPr>
        <w:pStyle w:val="1136"/>
        <w:jc w:val="center"/>
        <w:spacing w:line="360" w:lineRule="auto"/>
        <w:rPr>
          <w:sz w:val="24"/>
        </w:rPr>
        <w:outlineLvl w:val="0"/>
      </w:pPr>
      <w:r/>
      <w:bookmarkEnd w:id="3"/>
      <w:r/>
      <w:bookmarkEnd w:id="4"/>
      <w:r/>
      <w:bookmarkEnd w:id="5"/>
      <w:r/>
      <w:bookmarkEnd w:id="6"/>
      <w:r/>
      <w:bookmarkEnd w:id="7"/>
      <w:r/>
      <w:bookmarkStart w:id="8" w:name="_Toc104818925"/>
      <w:r/>
      <w:bookmarkStart w:id="9" w:name="_Toc8395"/>
      <w:r/>
      <w:bookmarkStart w:id="10" w:name="_Toc28359004"/>
      <w:r/>
      <w:bookmarkStart w:id="11" w:name="_Toc28359081"/>
      <w:r>
        <w:rPr>
          <w:b/>
          <w:sz w:val="36"/>
          <w:szCs w:val="36"/>
        </w:rPr>
        <w:t xml:space="preserve">第一章  </w:t>
      </w:r>
      <w:bookmarkEnd w:id="8"/>
      <w:r>
        <w:rPr>
          <w:rFonts w:hint="eastAsia"/>
          <w:b/>
          <w:sz w:val="36"/>
          <w:szCs w:val="36"/>
        </w:rPr>
        <w:t xml:space="preserve">竞争性磋商公告</w:t>
      </w:r>
      <w:bookmarkEnd w:id="9"/>
      <w:r>
        <w:rPr>
          <w:sz w:val="24"/>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1136"/>
              <w:spacing w:line="360" w:lineRule="auto"/>
              <w:rPr>
                <w:rFonts w:ascii="宋体" w:hAnsi="宋体" w:cs="宋体"/>
                <w:b/>
                <w:bCs/>
              </w:rPr>
            </w:pPr>
            <w:r>
              <w:rPr>
                <w:rFonts w:hint="eastAsia" w:ascii="宋体" w:hAnsi="宋体" w:cs="宋体"/>
              </w:rPr>
              <w:tab/>
            </w:r>
            <w:r>
              <w:rPr>
                <w:rFonts w:hint="eastAsia" w:ascii="宋体" w:hAnsi="宋体" w:cs="宋体"/>
                <w:b/>
                <w:bCs/>
              </w:rPr>
              <w:t xml:space="preserve">项目概况</w:t>
            </w:r>
            <w:r>
              <w:rPr>
                <w:rFonts w:ascii="宋体" w:hAnsi="宋体" w:cs="宋体"/>
                <w:b/>
                <w:bCs/>
              </w:rPr>
            </w:r>
            <w:r/>
          </w:p>
          <w:p>
            <w:pPr>
              <w:pStyle w:val="1136"/>
              <w:ind w:firstLine="422"/>
              <w:spacing w:line="360" w:lineRule="auto"/>
              <w:rPr>
                <w:rFonts w:ascii="宋体" w:hAnsi="宋体" w:cs="宋体"/>
              </w:rPr>
            </w:pPr>
            <w:r>
              <w:rPr>
                <w:rFonts w:hint="eastAsia" w:ascii="宋体" w:hAnsi="宋体" w:cs="宋体"/>
                <w:b/>
                <w:bCs/>
                <w:lang w:eastAsia="zh-CN"/>
              </w:rPr>
              <w:t xml:space="preserve">常州市自行车队溧阳曹山训练基地食品原材料采购及配送服务项目</w:t>
            </w:r>
            <w:r>
              <w:rPr>
                <w:rFonts w:hint="eastAsia" w:ascii="宋体" w:hAnsi="宋体" w:cs="宋体"/>
              </w:rPr>
              <w:t xml:space="preserve">的潜在供应商应在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w:t>
            </w:r>
            <w:r>
              <w:rPr>
                <w:rFonts w:hint="eastAsia" w:ascii="宋体" w:hAnsi="宋体" w:cs="宋体"/>
                <w:b/>
                <w:szCs w:val="21"/>
                <w:lang w:val="en-US" w:eastAsia="zh-CN"/>
              </w:rPr>
              <w:t xml:space="preserve">5</w:t>
            </w:r>
            <w:r>
              <w:rPr>
                <w:rFonts w:hint="eastAsia" w:ascii="宋体" w:hAnsi="宋体" w:cs="宋体"/>
                <w:b/>
                <w:szCs w:val="21"/>
              </w:rPr>
              <w:t xml:space="preserve">年</w:t>
            </w:r>
            <w:r>
              <w:rPr>
                <w:rFonts w:hint="eastAsia" w:ascii="宋体" w:hAnsi="宋体" w:cs="宋体"/>
                <w:b/>
                <w:szCs w:val="21"/>
                <w:lang w:val="en-US" w:eastAsia="zh-CN"/>
              </w:rPr>
              <w:t xml:space="preserve">12</w:t>
            </w:r>
            <w:r>
              <w:rPr>
                <w:rFonts w:hint="eastAsia" w:ascii="宋体" w:hAnsi="宋体" w:cs="宋体"/>
                <w:b/>
                <w:szCs w:val="21"/>
              </w:rPr>
              <w:t xml:space="preserve">月</w:t>
            </w:r>
            <w:r>
              <w:rPr>
                <w:rFonts w:hint="eastAsia" w:ascii="宋体" w:hAnsi="宋体" w:cs="宋体"/>
                <w:b/>
                <w:szCs w:val="21"/>
                <w:lang w:val="en-US" w:eastAsia="zh-CN"/>
              </w:rPr>
              <w:t xml:space="preserve">15</w:t>
            </w:r>
            <w:r>
              <w:rPr>
                <w:rFonts w:hint="eastAsia" w:ascii="宋体" w:hAnsi="宋体" w:cs="宋体"/>
                <w:b/>
                <w:szCs w:val="21"/>
              </w:rPr>
              <w:t xml:space="preserve">日</w:t>
            </w:r>
            <w:r>
              <w:rPr>
                <w:rFonts w:hint="eastAsia" w:ascii="宋体" w:hAnsi="宋体" w:cs="宋体"/>
                <w:b/>
                <w:szCs w:val="21"/>
                <w:lang w:val="en-US" w:eastAsia="zh-CN"/>
              </w:rPr>
              <w:t xml:space="preserve">9:30</w:t>
            </w:r>
            <w:r>
              <w:rPr>
                <w:rFonts w:hint="eastAsia" w:ascii="宋体" w:hAnsi="宋体" w:cs="宋体"/>
                <w:szCs w:val="21"/>
              </w:rPr>
              <w:t xml:space="preserve">（北京时间）前提交投标文件。</w:t>
            </w:r>
            <w:r>
              <w:rPr>
                <w:rFonts w:ascii="宋体" w:hAnsi="宋体" w:cs="宋体"/>
              </w:rPr>
            </w:r>
            <w:r/>
          </w:p>
        </w:tc>
      </w:tr>
    </w:tbl>
    <w:p>
      <w:pPr>
        <w:pStyle w:val="1136"/>
        <w:ind w:firstLine="422"/>
        <w:spacing w:line="360" w:lineRule="auto"/>
        <w:rPr>
          <w:rFonts w:ascii="宋体" w:hAnsi="宋体" w:cs="宋体"/>
          <w:b/>
          <w:bCs/>
          <w:highlight w:val="none"/>
        </w:rPr>
      </w:pPr>
      <w:r>
        <w:rPr>
          <w:rFonts w:hint="eastAsia" w:ascii="宋体" w:hAnsi="宋体" w:cs="宋体"/>
          <w:b/>
          <w:bCs/>
          <w:highlight w:val="none"/>
        </w:rPr>
        <w:t xml:space="preserve">一、项目基本情况  </w:t>
      </w:r>
      <w:r>
        <w:rPr>
          <w:rFonts w:ascii="宋体" w:hAnsi="宋体" w:cs="宋体"/>
          <w:b/>
          <w:bCs/>
          <w:highlight w:val="none"/>
        </w:rPr>
      </w:r>
      <w:r/>
    </w:p>
    <w:p>
      <w:pPr>
        <w:pStyle w:val="1136"/>
        <w:ind w:firstLine="422"/>
        <w:jc w:val="left"/>
        <w:spacing w:line="360" w:lineRule="auto"/>
        <w:tabs>
          <w:tab w:val="left" w:pos="3240" w:leader="none"/>
          <w:tab w:val="left" w:pos="3420" w:leader="none"/>
        </w:tabs>
        <w:rPr>
          <w:rFonts w:ascii="Segoe UI" w:hAnsi="Segoe UI" w:eastAsia="Segoe UI" w:cs="Segoe UI"/>
          <w:i w:val="0"/>
          <w:iCs w:val="0"/>
          <w:caps w:val="0"/>
          <w:spacing w:val="0"/>
          <w:sz w:val="21"/>
          <w:szCs w:val="21"/>
          <w:shd w:val="clear" w:color="auto" w:fill="ffffff"/>
        </w:rPr>
      </w:pPr>
      <w:r>
        <w:rPr>
          <w:rFonts w:hint="eastAsia" w:ascii="宋体" w:hAnsi="宋体" w:cs="宋体"/>
          <w:b/>
          <w:highlight w:val="none"/>
        </w:rPr>
        <w:t xml:space="preserve">项目编号：</w:t>
      </w:r>
      <w:r>
        <w:rPr>
          <w:rFonts w:hint="eastAsia" w:ascii="宋体" w:hAnsi="宋体" w:eastAsia="宋体" w:cs="宋体"/>
          <w:highlight w:val="none"/>
          <w:lang w:eastAsia="zh-CN"/>
        </w:rPr>
        <w:t xml:space="preserve">JSZC-320400-CZZH-C2025-0077</w:t>
      </w:r>
      <w:r>
        <w:rPr>
          <w:rFonts w:ascii="Segoe UI" w:hAnsi="Segoe UI" w:eastAsia="Segoe UI" w:cs="Segoe UI"/>
          <w:i w:val="0"/>
          <w:iCs w:val="0"/>
          <w:caps w:val="0"/>
          <w:spacing w:val="0"/>
          <w:sz w:val="21"/>
          <w:szCs w:val="21"/>
          <w:shd w:val="clear" w:color="auto" w:fill="ffffff"/>
        </w:rPr>
      </w:r>
      <w:r/>
    </w:p>
    <w:p>
      <w:pPr>
        <w:pStyle w:val="1136"/>
        <w:ind w:firstLine="422"/>
        <w:jc w:val="left"/>
        <w:spacing w:line="360" w:lineRule="auto"/>
        <w:tabs>
          <w:tab w:val="left" w:pos="3240" w:leader="none"/>
          <w:tab w:val="left" w:pos="3420" w:leader="none"/>
        </w:tabs>
        <w:rPr>
          <w:rFonts w:hint="eastAsia" w:ascii="宋体" w:hAnsi="宋体" w:eastAsia="宋体" w:cs="宋体"/>
          <w:highlight w:val="none"/>
          <w:lang w:eastAsia="zh-CN"/>
        </w:rPr>
      </w:pPr>
      <w:r>
        <w:rPr>
          <w:rFonts w:hint="eastAsia" w:ascii="宋体" w:hAnsi="宋体" w:cs="宋体"/>
          <w:b/>
          <w:highlight w:val="none"/>
        </w:rPr>
        <w:t xml:space="preserve">项目名称：</w:t>
      </w:r>
      <w:r>
        <w:rPr>
          <w:rFonts w:hint="eastAsia" w:ascii="宋体" w:hAnsi="宋体" w:cs="宋体"/>
          <w:highlight w:val="none"/>
          <w:lang w:eastAsia="zh-CN"/>
        </w:rPr>
        <w:t xml:space="preserve">常州市自行车队溧阳曹山训练基地食品原材料采购及配送服务项目</w:t>
      </w:r>
      <w:r>
        <w:rPr>
          <w:rFonts w:hint="eastAsia" w:ascii="宋体" w:hAnsi="宋体" w:eastAsia="宋体" w:cs="宋体"/>
          <w:highlight w:val="none"/>
          <w:lang w:eastAsia="zh-CN"/>
        </w:rPr>
      </w:r>
      <w:r/>
    </w:p>
    <w:p>
      <w:pPr>
        <w:pStyle w:val="1136"/>
        <w:ind w:firstLine="430"/>
        <w:spacing w:line="360" w:lineRule="auto"/>
        <w:rPr>
          <w:rFonts w:ascii="宋体" w:hAnsi="宋体" w:cs="宋体"/>
          <w:b/>
          <w:spacing w:val="2"/>
          <w:highlight w:val="none"/>
        </w:rPr>
      </w:pPr>
      <w:r>
        <w:rPr>
          <w:rFonts w:hint="eastAsia" w:ascii="宋体" w:hAnsi="宋体" w:cs="宋体"/>
          <w:b/>
          <w:spacing w:val="2"/>
          <w:highlight w:val="none"/>
        </w:rPr>
        <w:t xml:space="preserve">采购方式：</w:t>
      </w:r>
      <w:r>
        <w:rPr>
          <w:rFonts w:hint="eastAsia" w:ascii="宋体" w:hAnsi="宋体" w:cs="宋体"/>
          <w:spacing w:val="2"/>
          <w:highlight w:val="none"/>
        </w:rPr>
        <w:t xml:space="preserve">竞争性磋商</w:t>
      </w:r>
      <w:r>
        <w:rPr>
          <w:rFonts w:ascii="宋体" w:hAnsi="宋体" w:cs="宋体"/>
          <w:b/>
          <w:spacing w:val="2"/>
          <w:highlight w:val="none"/>
        </w:rPr>
      </w:r>
      <w:r/>
    </w:p>
    <w:p>
      <w:pPr>
        <w:pStyle w:val="1136"/>
        <w:ind w:firstLine="430"/>
        <w:spacing w:line="360" w:lineRule="auto"/>
        <w:rPr>
          <w:rFonts w:hint="eastAsia" w:ascii="宋体" w:hAnsi="宋体" w:cs="宋体"/>
          <w:bCs/>
          <w:spacing w:val="2"/>
          <w:szCs w:val="21"/>
          <w:highlight w:val="none"/>
        </w:rPr>
      </w:pPr>
      <w:r>
        <w:rPr>
          <w:rFonts w:hint="eastAsia" w:ascii="宋体" w:hAnsi="宋体" w:cs="宋体"/>
          <w:b/>
          <w:spacing w:val="2"/>
          <w:highlight w:val="none"/>
        </w:rPr>
        <w:t xml:space="preserve">预算金额:</w:t>
      </w:r>
      <w:r>
        <w:rPr>
          <w:rFonts w:hint="eastAsia" w:ascii="宋体" w:hAnsi="宋体" w:cs="宋体"/>
          <w:b/>
          <w:spacing w:val="2"/>
          <w:highlight w:val="none"/>
          <w:lang w:val="en-US" w:eastAsia="zh-CN"/>
        </w:rPr>
        <w:t xml:space="preserve"> </w:t>
      </w:r>
      <w:r>
        <w:rPr>
          <w:rFonts w:hint="eastAsia" w:ascii="宋体" w:hAnsi="宋体" w:eastAsia="宋体" w:cs="宋体"/>
          <w:spacing w:val="2"/>
          <w:highlight w:val="none"/>
          <w:lang w:val="en-US" w:eastAsia="zh-CN"/>
        </w:rPr>
        <w:t xml:space="preserve">120</w:t>
      </w:r>
      <w:r>
        <w:rPr>
          <w:rFonts w:hint="eastAsia" w:ascii="宋体" w:hAnsi="宋体" w:cs="宋体"/>
          <w:bCs/>
          <w:spacing w:val="2"/>
          <w:szCs w:val="21"/>
          <w:highlight w:val="none"/>
        </w:rPr>
        <w:t xml:space="preserve">万元</w:t>
      </w:r>
      <w:r>
        <w:rPr>
          <w:rFonts w:hint="eastAsia" w:ascii="宋体" w:hAnsi="宋体" w:cs="宋体"/>
          <w:bCs/>
          <w:spacing w:val="2"/>
          <w:szCs w:val="21"/>
          <w:highlight w:val="none"/>
        </w:rPr>
      </w:r>
      <w:r/>
    </w:p>
    <w:p>
      <w:pPr>
        <w:pStyle w:val="1136"/>
        <w:ind w:firstLine="430"/>
        <w:spacing w:line="360" w:lineRule="auto"/>
        <w:rPr>
          <w:rFonts w:ascii="宋体" w:hAnsi="宋体" w:cs="宋体"/>
          <w:bCs/>
          <w:spacing w:val="2"/>
          <w:szCs w:val="21"/>
          <w:highlight w:val="none"/>
        </w:rPr>
      </w:pPr>
      <w:r>
        <w:rPr>
          <w:rFonts w:hint="eastAsia" w:ascii="宋体" w:hAnsi="宋体" w:cs="宋体"/>
          <w:b/>
          <w:spacing w:val="2"/>
          <w:szCs w:val="21"/>
          <w:highlight w:val="none"/>
        </w:rPr>
        <w:t xml:space="preserve">最高限价：</w:t>
      </w:r>
      <w:r>
        <w:rPr>
          <w:rFonts w:hint="eastAsia" w:ascii="宋体" w:hAnsi="宋体" w:eastAsia="宋体" w:cs="宋体"/>
          <w:bCs/>
          <w:spacing w:val="2"/>
          <w:szCs w:val="21"/>
          <w:highlight w:val="none"/>
        </w:rPr>
        <w:t xml:space="preserve">优惠率≥0%（以凌家塘官网当日菜价公示中间价进行优惠），如：优惠率为25%，则结算时按凌家塘官网当日菜价公示中间价*（1-25%）进行结算。</w:t>
      </w:r>
      <w:r>
        <w:rPr>
          <w:rFonts w:ascii="宋体" w:hAnsi="宋体" w:cs="宋体"/>
          <w:bCs/>
          <w:spacing w:val="2"/>
          <w:szCs w:val="21"/>
          <w:highlight w:val="none"/>
        </w:rPr>
      </w:r>
      <w:r/>
    </w:p>
    <w:p>
      <w:pPr>
        <w:pStyle w:val="1136"/>
        <w:ind w:firstLine="430"/>
        <w:spacing w:line="360" w:lineRule="auto"/>
        <w:tabs>
          <w:tab w:val="left" w:pos="1080" w:leader="none"/>
          <w:tab w:val="left" w:pos="1872" w:leader="none"/>
        </w:tabs>
        <w:rPr>
          <w:rFonts w:hint="eastAsia" w:ascii="宋体" w:hAnsi="宋体" w:eastAsia="宋体" w:cs="宋体"/>
          <w:bCs/>
          <w:color w:val="000000"/>
          <w:szCs w:val="21"/>
          <w:highlight w:val="none"/>
          <w:lang w:val="en-US" w:eastAsia="zh-CN"/>
        </w:rPr>
      </w:pPr>
      <w:r>
        <w:rPr>
          <w:rFonts w:hint="eastAsia" w:ascii="宋体" w:hAnsi="宋体" w:cs="宋体"/>
          <w:b/>
          <w:spacing w:val="2"/>
          <w:szCs w:val="21"/>
          <w:highlight w:val="none"/>
        </w:rPr>
        <w:t xml:space="preserve">合同履行期限：</w:t>
      </w:r>
      <w:r>
        <w:rPr>
          <w:rFonts w:hint="eastAsia" w:ascii="宋体" w:hAnsi="宋体" w:eastAsia="宋体" w:cs="宋体"/>
          <w:highlight w:val="none"/>
          <w:lang w:val="en-US" w:eastAsia="zh-CN"/>
        </w:rPr>
        <w:t xml:space="preserve">1年</w:t>
      </w:r>
      <w:r>
        <w:rPr>
          <w:rFonts w:hint="eastAsia" w:ascii="宋体" w:hAnsi="宋体" w:eastAsia="宋体" w:cs="宋体"/>
          <w:bCs/>
          <w:color w:val="000000"/>
          <w:szCs w:val="21"/>
          <w:highlight w:val="none"/>
          <w:lang w:val="en-US" w:eastAsia="zh-CN"/>
        </w:rPr>
      </w:r>
      <w:r/>
    </w:p>
    <w:p>
      <w:pPr>
        <w:pStyle w:val="1136"/>
        <w:ind w:firstLine="420"/>
        <w:jc w:val="left"/>
        <w:spacing w:line="360" w:lineRule="auto"/>
        <w:rPr>
          <w:rFonts w:hint="eastAsia" w:ascii="宋体" w:hAnsi="宋体" w:eastAsia="宋体" w:cs="宋体"/>
          <w:bCs/>
          <w:spacing w:val="2"/>
          <w:szCs w:val="21"/>
          <w:highlight w:val="none"/>
          <w:lang w:val="en-US" w:eastAsia="zh-CN"/>
        </w:rPr>
      </w:pPr>
      <w:r>
        <w:rPr>
          <w:rFonts w:hint="eastAsia" w:ascii="宋体" w:hAnsi="宋体" w:eastAsia="宋体" w:cs="宋体"/>
          <w:b w:val="0"/>
          <w:sz w:val="21"/>
          <w:szCs w:val="24"/>
          <w:highlight w:val="none"/>
          <w:u w:val="none"/>
          <w:lang w:val="en-US" w:eastAsia="zh-CN" w:bidi="ar-SA"/>
        </w:rPr>
        <w:t xml:space="preserve">采购需求</w:t>
      </w:r>
      <w:r>
        <w:rPr>
          <w:rFonts w:hint="eastAsia" w:ascii="宋体" w:hAnsi="宋体" w:eastAsia="宋体" w:cs="宋体"/>
          <w:bCs/>
          <w:spacing w:val="2"/>
          <w:szCs w:val="21"/>
          <w:highlight w:val="none"/>
          <w:lang w:val="en-US" w:eastAsia="zh-CN"/>
        </w:rPr>
        <w:t xml:space="preserve">：</w:t>
      </w:r>
      <w:r>
        <w:rPr>
          <w:rFonts w:hint="eastAsia" w:ascii="宋体" w:hAnsi="宋体" w:eastAsia="宋体" w:cs="宋体"/>
          <w:bCs/>
          <w:spacing w:val="2"/>
          <w:szCs w:val="21"/>
          <w:highlight w:val="none"/>
        </w:rPr>
        <w:t xml:space="preserve">江苏省常州体育运动学校</w:t>
      </w:r>
      <w:r>
        <w:rPr>
          <w:rFonts w:hint="eastAsia" w:ascii="宋体" w:hAnsi="宋体" w:cs="宋体"/>
          <w:highlight w:val="none"/>
          <w:lang w:eastAsia="zh-CN"/>
        </w:rPr>
        <w:t xml:space="preserve">常州市自行车队溧阳曹山训练基地食品原材料采购及配送服务项目</w:t>
      </w:r>
      <w:r>
        <w:rPr>
          <w:rFonts w:hint="eastAsia" w:ascii="宋体" w:hAnsi="宋体" w:eastAsia="宋体" w:cs="宋体"/>
          <w:bCs/>
          <w:spacing w:val="2"/>
          <w:szCs w:val="21"/>
          <w:highlight w:val="none"/>
        </w:rPr>
        <w:t xml:space="preserve">，采购范围包括但不限于蔬菜瓜果、水产品、肉类、家禽、点心米面、 食用油、副食品、奶制品、佐料等。</w:t>
      </w:r>
      <w:r>
        <w:rPr>
          <w:rFonts w:hint="eastAsia" w:ascii="宋体" w:hAnsi="宋体" w:eastAsia="宋体" w:cs="宋体"/>
          <w:bCs/>
          <w:spacing w:val="2"/>
          <w:szCs w:val="21"/>
          <w:highlight w:val="none"/>
          <w:lang w:val="en-US" w:eastAsia="zh-CN"/>
        </w:rPr>
        <w:t xml:space="preserve">详见采购需求。</w:t>
      </w:r>
      <w:r>
        <w:rPr>
          <w:rFonts w:hint="eastAsia" w:ascii="宋体" w:hAnsi="宋体" w:eastAsia="宋体" w:cs="宋体"/>
          <w:bCs/>
          <w:spacing w:val="2"/>
          <w:szCs w:val="21"/>
          <w:highlight w:val="none"/>
          <w:lang w:val="en-US" w:eastAsia="zh-CN"/>
        </w:rPr>
      </w:r>
      <w:r/>
    </w:p>
    <w:p>
      <w:pPr>
        <w:pStyle w:val="1136"/>
        <w:ind w:firstLine="430"/>
        <w:spacing w:line="360" w:lineRule="auto"/>
        <w:rPr>
          <w:rFonts w:hint="eastAsia" w:ascii="宋体" w:hAnsi="宋体" w:cs="宋体"/>
          <w:bCs/>
          <w:spacing w:val="2"/>
          <w:szCs w:val="21"/>
          <w:highlight w:val="none"/>
        </w:rPr>
      </w:pPr>
      <w:r/>
      <w:bookmarkStart w:id="12" w:name="_Toc28359003"/>
      <w:r/>
      <w:bookmarkStart w:id="13" w:name="_Toc28359080"/>
      <w:r/>
      <w:bookmarkStart w:id="14" w:name="_Toc35393622"/>
      <w:r/>
      <w:bookmarkStart w:id="15" w:name="_Toc35393791"/>
      <w:r>
        <w:rPr>
          <w:rFonts w:hint="eastAsia" w:ascii="宋体" w:hAnsi="宋体" w:cs="宋体"/>
          <w:b/>
          <w:spacing w:val="2"/>
          <w:szCs w:val="21"/>
          <w:highlight w:val="none"/>
        </w:rPr>
        <w:t xml:space="preserve">二、申请人的资格要求：</w:t>
      </w:r>
      <w:bookmarkEnd w:id="12"/>
      <w:r/>
      <w:bookmarkEnd w:id="13"/>
      <w:r/>
      <w:bookmarkEnd w:id="14"/>
      <w:r/>
      <w:bookmarkEnd w:id="15"/>
      <w:r>
        <w:rPr>
          <w:rFonts w:hint="eastAsia" w:ascii="宋体" w:hAnsi="宋体" w:cs="宋体"/>
          <w:bCs/>
          <w:spacing w:val="2"/>
          <w:szCs w:val="21"/>
          <w:highlight w:val="none"/>
        </w:rPr>
      </w:r>
      <w:r/>
    </w:p>
    <w:p>
      <w:pPr>
        <w:pStyle w:val="113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1.满足《中华人民共和国政府采购法》第二十二条规定</w:t>
      </w:r>
      <w:r>
        <w:rPr>
          <w:rFonts w:hint="eastAsia" w:ascii="宋体" w:hAnsi="宋体" w:cs="宋体"/>
          <w:bCs/>
          <w:spacing w:val="2"/>
          <w:szCs w:val="21"/>
          <w:highlight w:val="none"/>
        </w:rPr>
      </w:r>
      <w:r/>
    </w:p>
    <w:p>
      <w:pPr>
        <w:pStyle w:val="1136"/>
        <w:ind w:firstLine="430"/>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2.落实政府采购政策需满足的资格要求</w:t>
      </w:r>
      <w:r>
        <w:rPr>
          <w:rFonts w:hint="eastAsia" w:ascii="宋体" w:hAnsi="宋体" w:cs="宋体"/>
          <w:bCs/>
          <w:spacing w:val="2"/>
          <w:szCs w:val="21"/>
          <w:highlight w:val="none"/>
        </w:rPr>
        <w:t xml:space="preserve">：</w:t>
      </w:r>
      <w:r>
        <w:rPr>
          <w:rFonts w:hint="eastAsia" w:ascii="宋体" w:hAnsi="宋体" w:cs="宋体"/>
          <w:bCs/>
          <w:spacing w:val="2"/>
          <w:szCs w:val="21"/>
          <w:highlight w:val="none"/>
        </w:rPr>
      </w:r>
      <w:r/>
    </w:p>
    <w:p>
      <w:pPr>
        <w:pStyle w:val="113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2.1 中小企业政策</w:t>
      </w:r>
      <w:r>
        <w:rPr>
          <w:rFonts w:hint="eastAsia" w:ascii="宋体" w:hAnsi="宋体" w:cs="宋体"/>
          <w:bCs/>
          <w:spacing w:val="2"/>
          <w:szCs w:val="21"/>
          <w:highlight w:val="none"/>
        </w:rPr>
      </w:r>
      <w:r/>
    </w:p>
    <w:p>
      <w:pPr>
        <w:pStyle w:val="1136"/>
        <w:ind w:firstLine="428"/>
        <w:spacing w:line="360" w:lineRule="auto"/>
        <w:rPr>
          <w:rFonts w:hint="eastAsia" w:ascii="宋体" w:hAnsi="宋体" w:eastAsia="宋体" w:cs="宋体"/>
          <w:bCs/>
          <w:color w:val="000000"/>
          <w:spacing w:val="2"/>
          <w:szCs w:val="21"/>
          <w:highlight w:val="none"/>
        </w:rPr>
      </w:pPr>
      <w:r>
        <w:rPr>
          <w:rFonts w:hint="eastAsia" w:ascii="宋体" w:hAnsi="宋体" w:eastAsia="宋体" w:cs="宋体"/>
          <w:bCs/>
          <w:color w:val="000000"/>
          <w:spacing w:val="2"/>
          <w:szCs w:val="21"/>
          <w:highlight w:val="none"/>
        </w:rPr>
        <w:t xml:space="preserve">本项目专</w:t>
      </w:r>
      <w:r>
        <w:rPr>
          <w:rFonts w:hint="eastAsia" w:ascii="宋体" w:hAnsi="宋体" w:eastAsia="宋体" w:cs="宋体"/>
          <w:bCs/>
          <w:color w:val="000000"/>
          <w:spacing w:val="2"/>
          <w:szCs w:val="21"/>
          <w:highlight w:val="none"/>
        </w:rPr>
        <w:t xml:space="preserve">门面向中企业采</w:t>
      </w:r>
      <w:r>
        <w:rPr>
          <w:rFonts w:hint="eastAsia" w:ascii="宋体" w:hAnsi="宋体" w:eastAsia="宋体" w:cs="宋体"/>
          <w:bCs/>
          <w:color w:val="000000"/>
          <w:spacing w:val="2"/>
          <w:szCs w:val="21"/>
          <w:highlight w:val="none"/>
        </w:rPr>
        <w:t xml:space="preserve">购。</w:t>
      </w:r>
      <w:r>
        <w:rPr>
          <w:rFonts w:hint="eastAsia" w:ascii="宋体" w:hAnsi="宋体" w:eastAsia="宋体" w:cs="宋体"/>
          <w:bCs/>
          <w:color w:val="000000"/>
          <w:spacing w:val="2"/>
          <w:szCs w:val="21"/>
          <w:highlight w:val="none"/>
        </w:rPr>
      </w:r>
      <w:r/>
    </w:p>
    <w:p>
      <w:pPr>
        <w:pStyle w:val="113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2.2 其它落实政府采购政策的资格要求（如有）：无。</w:t>
      </w:r>
      <w:r>
        <w:rPr>
          <w:rFonts w:hint="eastAsia" w:ascii="宋体" w:hAnsi="宋体" w:cs="宋体"/>
          <w:bCs/>
          <w:spacing w:val="2"/>
          <w:szCs w:val="21"/>
          <w:highlight w:val="none"/>
        </w:rPr>
      </w:r>
      <w:r/>
    </w:p>
    <w:p>
      <w:pPr>
        <w:pStyle w:val="113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3.本项目的特定资格要求：</w:t>
      </w:r>
      <w:r>
        <w:rPr>
          <w:rFonts w:hint="eastAsia" w:ascii="宋体" w:hAnsi="宋体" w:cs="宋体"/>
          <w:bCs/>
          <w:spacing w:val="2"/>
          <w:szCs w:val="21"/>
          <w:highlight w:val="none"/>
        </w:rPr>
      </w:r>
      <w:r/>
    </w:p>
    <w:p>
      <w:pPr>
        <w:pStyle w:val="113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highlight w:val="none"/>
        </w:rPr>
      </w:r>
      <w:r/>
    </w:p>
    <w:p>
      <w:pPr>
        <w:pStyle w:val="113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cs="宋体"/>
          <w:bCs/>
          <w:spacing w:val="2"/>
          <w:szCs w:val="21"/>
          <w:highlight w:val="none"/>
        </w:rPr>
      </w:r>
      <w:r/>
    </w:p>
    <w:p>
      <w:pPr>
        <w:pStyle w:val="113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3.3本项目不接受联合体，中标后不允许转包</w:t>
      </w:r>
      <w:r>
        <w:rPr>
          <w:rFonts w:hint="eastAsia" w:ascii="宋体" w:hAnsi="宋体" w:cs="宋体"/>
          <w:bCs/>
          <w:spacing w:val="2"/>
          <w:szCs w:val="21"/>
          <w:highlight w:val="none"/>
        </w:rPr>
      </w:r>
      <w:r/>
    </w:p>
    <w:p>
      <w:pPr>
        <w:pStyle w:val="1136"/>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3.4本项目是否接受分支机构参与响应：否</w:t>
      </w:r>
      <w:r>
        <w:rPr>
          <w:rFonts w:hint="eastAsia" w:ascii="宋体" w:hAnsi="宋体" w:cs="宋体"/>
          <w:bCs/>
          <w:spacing w:val="2"/>
          <w:szCs w:val="21"/>
          <w:highlight w:val="none"/>
        </w:rPr>
      </w:r>
      <w:r/>
    </w:p>
    <w:p>
      <w:pPr>
        <w:pStyle w:val="1136"/>
        <w:ind w:firstLine="428"/>
        <w:spacing w:line="360" w:lineRule="auto"/>
        <w:rPr>
          <w:rFonts w:hint="eastAsia" w:ascii="宋体" w:hAnsi="宋体" w:cs="宋体"/>
          <w:bCs/>
          <w:spacing w:val="2"/>
          <w:szCs w:val="21"/>
          <w:highlight w:val="none"/>
          <w:lang w:val="en-US" w:eastAsia="zh-CN"/>
        </w:rPr>
      </w:pPr>
      <w:r>
        <w:rPr>
          <w:rFonts w:hint="eastAsia" w:ascii="宋体" w:hAnsi="宋体" w:cs="宋体"/>
          <w:bCs/>
          <w:spacing w:val="2"/>
          <w:szCs w:val="21"/>
          <w:highlight w:val="none"/>
        </w:rPr>
        <w:t xml:space="preserve">3.5本项目是否属于政府购买服务：</w:t>
      </w:r>
      <w:r>
        <w:rPr>
          <w:rFonts w:hint="eastAsia" w:ascii="宋体" w:hAnsi="宋体" w:cs="宋体"/>
          <w:bCs/>
          <w:spacing w:val="2"/>
          <w:szCs w:val="21"/>
          <w:highlight w:val="none"/>
          <w:lang w:val="en-US" w:eastAsia="zh-CN"/>
        </w:rPr>
        <w:t xml:space="preserve">否</w:t>
      </w:r>
      <w:r>
        <w:rPr>
          <w:rFonts w:hint="eastAsia" w:ascii="宋体" w:hAnsi="宋体" w:cs="宋体"/>
          <w:bCs/>
          <w:spacing w:val="2"/>
          <w:szCs w:val="21"/>
          <w:highlight w:val="none"/>
          <w:lang w:val="en-US" w:eastAsia="zh-CN"/>
        </w:rPr>
      </w:r>
      <w:r/>
    </w:p>
    <w:p>
      <w:pPr>
        <w:pStyle w:val="1136"/>
        <w:ind w:firstLine="428"/>
        <w:spacing w:line="360" w:lineRule="auto"/>
        <w:rPr>
          <w:rFonts w:hint="eastAsia" w:ascii="宋体" w:hAnsi="宋体" w:eastAsia="宋体" w:cs="宋体"/>
          <w:bCs/>
          <w:spacing w:val="2"/>
          <w:szCs w:val="21"/>
          <w:highlight w:val="none"/>
          <w:lang w:eastAsia="zh-CN"/>
        </w:rPr>
      </w:pPr>
      <w:r>
        <w:rPr>
          <w:rFonts w:hint="eastAsia" w:ascii="宋体" w:hAnsi="宋体" w:cs="宋体"/>
          <w:bCs/>
          <w:spacing w:val="2"/>
          <w:szCs w:val="21"/>
        </w:rPr>
        <w:t xml:space="preserve">3.6其他特定资格要求：</w:t>
      </w:r>
      <w:r>
        <w:rPr>
          <w:rFonts w:hint="eastAsia" w:ascii="宋体" w:hAnsi="宋体" w:eastAsia="宋体" w:cs="宋体"/>
          <w:b/>
          <w:bCs w:val="0"/>
          <w:spacing w:val="2"/>
          <w:szCs w:val="21"/>
          <w:highlight w:val="none"/>
        </w:rPr>
        <w:t xml:space="preserve">供应商具有有效的《食品经营许可证</w:t>
      </w:r>
      <w:bookmarkEnd w:id="10"/>
      <w:r/>
      <w:bookmarkEnd w:id="11"/>
      <w:r/>
      <w:bookmarkStart w:id="16" w:name="_Toc35393623"/>
      <w:r/>
      <w:bookmarkStart w:id="17" w:name="_Toc35393792"/>
      <w:r>
        <w:rPr>
          <w:rFonts w:hint="eastAsia" w:ascii="宋体" w:hAnsi="宋体" w:eastAsia="宋体" w:cs="宋体"/>
          <w:b/>
          <w:bCs w:val="0"/>
          <w:spacing w:val="2"/>
          <w:szCs w:val="21"/>
          <w:highlight w:val="none"/>
          <w:lang w:eastAsia="zh-CN"/>
        </w:rPr>
        <w:t xml:space="preserve">》</w:t>
      </w:r>
      <w:r>
        <w:rPr>
          <w:rFonts w:hint="eastAsia" w:ascii="宋体" w:hAnsi="宋体" w:eastAsia="宋体" w:cs="宋体"/>
          <w:bCs/>
          <w:spacing w:val="2"/>
          <w:szCs w:val="21"/>
          <w:highlight w:val="none"/>
          <w:lang w:eastAsia="zh-CN"/>
        </w:rPr>
      </w:r>
      <w:r/>
    </w:p>
    <w:p>
      <w:pPr>
        <w:pStyle w:val="1136"/>
        <w:ind w:firstLine="420"/>
        <w:spacing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三、获取采购文件</w:t>
      </w:r>
      <w:bookmarkEnd w:id="16"/>
      <w:r/>
      <w:bookmarkEnd w:id="17"/>
      <w:r>
        <w:rPr>
          <w:rFonts w:hint="eastAsia" w:ascii="Times New Roman" w:hAnsi="Times New Roman" w:eastAsia="宋体"/>
          <w:bCs/>
          <w:sz w:val="21"/>
          <w:szCs w:val="32"/>
        </w:rPr>
      </w:r>
      <w:r/>
    </w:p>
    <w:p>
      <w:pPr>
        <w:pStyle w:val="1136"/>
        <w:ind w:firstLine="420"/>
        <w:spacing w:line="360" w:lineRule="auto"/>
        <w:rPr>
          <w:rFonts w:hint="eastAsia" w:ascii="宋体" w:hAnsi="宋体" w:cs="宋体"/>
          <w:szCs w:val="21"/>
          <w:lang w:val="zh-CN"/>
        </w:rPr>
      </w:pPr>
      <w:r>
        <w:rPr>
          <w:rFonts w:hint="eastAsia"/>
          <w:szCs w:val="32"/>
        </w:rPr>
        <w:t xml:space="preserve">1.时间：</w:t>
      </w:r>
      <w:r>
        <w:rPr>
          <w:rFonts w:hint="eastAsia" w:ascii="宋体" w:hAnsi="宋体" w:cs="宋体"/>
          <w:szCs w:val="21"/>
          <w:lang w:val="en-US" w:eastAsia="zh-CN"/>
        </w:rPr>
        <w:t xml:space="preserve">2025年12月4日</w:t>
      </w:r>
      <w:r>
        <w:rPr>
          <w:rFonts w:hint="eastAsia" w:ascii="宋体" w:hAnsi="宋体" w:cs="宋体"/>
          <w:szCs w:val="21"/>
          <w:lang w:val="zh-CN"/>
        </w:rPr>
        <w:t xml:space="preserve">至</w:t>
      </w:r>
      <w:r>
        <w:rPr>
          <w:rFonts w:hint="eastAsia" w:ascii="宋体" w:hAnsi="宋体" w:cs="宋体"/>
          <w:szCs w:val="21"/>
        </w:rPr>
        <w:t xml:space="preserve">202</w:t>
      </w:r>
      <w:r>
        <w:rPr>
          <w:rFonts w:hint="eastAsia" w:ascii="宋体" w:hAnsi="宋体" w:cs="宋体"/>
          <w:szCs w:val="21"/>
          <w:lang w:val="en-US" w:eastAsia="zh-CN"/>
        </w:rPr>
        <w:t xml:space="preserve">5</w:t>
      </w:r>
      <w:r>
        <w:rPr>
          <w:rFonts w:hint="eastAsia" w:ascii="宋体" w:hAnsi="宋体" w:cs="宋体"/>
          <w:szCs w:val="21"/>
          <w:lang w:val="zh-CN"/>
        </w:rPr>
        <w:t xml:space="preserve">年</w:t>
      </w:r>
      <w:r>
        <w:rPr>
          <w:rFonts w:hint="eastAsia" w:ascii="宋体" w:hAnsi="宋体" w:cs="宋体"/>
          <w:szCs w:val="21"/>
          <w:lang w:val="en-US" w:eastAsia="zh-CN"/>
        </w:rPr>
        <w:t xml:space="preserve">12</w:t>
      </w:r>
      <w:r>
        <w:rPr>
          <w:rFonts w:hint="eastAsia" w:ascii="宋体" w:hAnsi="宋体" w:cs="宋体"/>
          <w:szCs w:val="21"/>
          <w:lang w:val="zh-CN"/>
        </w:rPr>
        <w:t xml:space="preserve">月</w:t>
      </w:r>
      <w:r>
        <w:rPr>
          <w:rFonts w:hint="eastAsia" w:ascii="宋体" w:hAnsi="宋体" w:cs="宋体"/>
          <w:szCs w:val="21"/>
          <w:lang w:val="en-US" w:eastAsia="zh-CN"/>
        </w:rPr>
        <w:t xml:space="preserve">10</w:t>
      </w:r>
      <w:r>
        <w:rPr>
          <w:rFonts w:hint="eastAsia" w:ascii="宋体" w:hAnsi="宋体" w:cs="宋体"/>
          <w:szCs w:val="21"/>
          <w:lang w:val="zh-CN"/>
        </w:rPr>
        <w:t xml:space="preserve">日</w:t>
      </w:r>
      <w:r>
        <w:rPr>
          <w:rFonts w:hint="eastAsia" w:ascii="宋体" w:hAnsi="宋体" w:cs="宋体"/>
          <w:szCs w:val="21"/>
          <w:lang w:val="zh-CN"/>
        </w:rPr>
      </w:r>
      <w:r/>
    </w:p>
    <w:p>
      <w:pPr>
        <w:pStyle w:val="1136"/>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136"/>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）获取电子版磋商文件。</w:t>
      </w:r>
      <w:r>
        <w:rPr>
          <w:rFonts w:hint="eastAsia"/>
          <w:szCs w:val="32"/>
        </w:rPr>
      </w:r>
      <w:r/>
    </w:p>
    <w:p>
      <w:pPr>
        <w:pStyle w:val="1136"/>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136"/>
        <w:spacing w:line="360" w:lineRule="auto"/>
        <w:rPr>
          <w:rFonts w:hint="eastAsia"/>
          <w:b/>
          <w:bCs/>
          <w:szCs w:val="32"/>
        </w:rPr>
      </w:pPr>
      <w:r/>
      <w:bookmarkStart w:id="18" w:name="_Toc35393793"/>
      <w:r>
        <w:rPr>
          <w:rFonts w:hint="eastAsia"/>
          <w:b/>
          <w:bCs/>
          <w:szCs w:val="32"/>
        </w:rPr>
        <w:t xml:space="preserve">四、响应文件提交</w:t>
      </w:r>
      <w:r>
        <w:rPr>
          <w:rFonts w:hint="eastAsia"/>
          <w:b/>
          <w:bCs/>
          <w:szCs w:val="32"/>
        </w:rPr>
      </w:r>
      <w:r/>
    </w:p>
    <w:p>
      <w:pPr>
        <w:pStyle w:val="1136"/>
        <w:ind w:firstLine="420"/>
        <w:spacing w:line="360" w:lineRule="auto"/>
        <w:rPr>
          <w:rFonts w:hint="eastAsia"/>
          <w:szCs w:val="32"/>
        </w:rPr>
      </w:pPr>
      <w:r>
        <w:rPr>
          <w:rFonts w:hint="eastAsia"/>
          <w:szCs w:val="32"/>
        </w:rPr>
        <w:t xml:space="preserve">截止时间：</w:t>
      </w:r>
      <w:bookmarkEnd w:id="18"/>
      <w:r/>
      <w:bookmarkStart w:id="19" w:name="XMTBJSR_1"/>
      <w:r>
        <w:rPr>
          <w:rFonts w:hint="eastAsia"/>
          <w:szCs w:val="32"/>
        </w:rPr>
        <w:t xml:space="preserve">202</w:t>
      </w:r>
      <w:r>
        <w:rPr>
          <w:rFonts w:hint="eastAsia"/>
          <w:szCs w:val="32"/>
          <w:lang w:val="en-US" w:eastAsia="zh-CN"/>
        </w:rPr>
        <w:t xml:space="preserve">5</w:t>
      </w:r>
      <w:r>
        <w:rPr>
          <w:rFonts w:hint="eastAsia"/>
          <w:szCs w:val="32"/>
        </w:rPr>
        <w:t xml:space="preserve">年</w:t>
      </w:r>
      <w:r>
        <w:rPr>
          <w:rFonts w:hint="eastAsia"/>
          <w:szCs w:val="32"/>
          <w:lang w:val="en-US" w:eastAsia="zh-CN"/>
        </w:rPr>
        <w:t xml:space="preserve">12</w:t>
      </w:r>
      <w:r>
        <w:rPr>
          <w:rFonts w:hint="eastAsia"/>
          <w:szCs w:val="32"/>
        </w:rPr>
        <w:t xml:space="preserve">月</w:t>
      </w:r>
      <w:r>
        <w:rPr>
          <w:rFonts w:hint="eastAsia"/>
          <w:szCs w:val="32"/>
          <w:lang w:val="en-US" w:eastAsia="zh-CN"/>
        </w:rPr>
        <w:t xml:space="preserve">15</w:t>
      </w:r>
      <w:r>
        <w:rPr>
          <w:rFonts w:hint="eastAsia"/>
          <w:szCs w:val="32"/>
        </w:rPr>
        <w:t xml:space="preserve">日 </w:t>
      </w:r>
      <w:r>
        <w:rPr>
          <w:rFonts w:hint="eastAsia"/>
          <w:szCs w:val="32"/>
          <w:lang w:val="en-US" w:eastAsia="zh-CN"/>
        </w:rPr>
        <w:t xml:space="preserve">9：30</w:t>
      </w:r>
      <w:r>
        <w:rPr>
          <w:rFonts w:hint="eastAsia"/>
          <w:szCs w:val="32"/>
        </w:rPr>
        <w:t xml:space="preserve">（北京时间）</w:t>
      </w:r>
      <w:r>
        <w:rPr>
          <w:rFonts w:hint="eastAsia"/>
          <w:szCs w:val="32"/>
        </w:rPr>
      </w:r>
      <w:r/>
    </w:p>
    <w:p>
      <w:pPr>
        <w:pStyle w:val="1136"/>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地点：本项目采用不见面交易方式，无需到现场提交，供应商登录“苏采云”政府采购一体化平台供应商端，通过系统在线提交电子响应文件</w:t>
      </w:r>
      <w:r>
        <w:rPr>
          <w:rFonts w:hint="eastAsia"/>
          <w:szCs w:val="32"/>
        </w:rPr>
      </w:r>
      <w:r/>
    </w:p>
    <w:p>
      <w:pPr>
        <w:pStyle w:val="1136"/>
        <w:spacing w:line="360" w:lineRule="auto"/>
        <w:rPr>
          <w:rFonts w:hint="eastAsia"/>
          <w:b/>
          <w:bCs/>
          <w:szCs w:val="32"/>
        </w:rPr>
      </w:pPr>
      <w:r>
        <w:rPr>
          <w:rFonts w:hint="eastAsia"/>
          <w:b/>
          <w:bCs/>
          <w:szCs w:val="32"/>
        </w:rPr>
        <w:t xml:space="preserve">五、开启</w:t>
      </w:r>
      <w:r>
        <w:rPr>
          <w:rFonts w:hint="eastAsia"/>
          <w:b/>
          <w:bCs/>
          <w:szCs w:val="32"/>
        </w:rPr>
      </w:r>
      <w:r/>
    </w:p>
    <w:p>
      <w:pPr>
        <w:pStyle w:val="1136"/>
        <w:ind w:firstLine="420"/>
        <w:spacing w:line="360" w:lineRule="auto"/>
        <w:rPr>
          <w:rFonts w:hint="eastAsia"/>
          <w:szCs w:val="32"/>
        </w:rPr>
      </w:pPr>
      <w:r>
        <w:rPr>
          <w:rFonts w:hint="eastAsia"/>
          <w:szCs w:val="32"/>
        </w:rPr>
        <w:t xml:space="preserve">时间：</w:t>
      </w:r>
      <w:bookmarkEnd w:id="19"/>
      <w:r/>
      <w:bookmarkStart w:id="20" w:name="XMTBJSR_2"/>
      <w:r>
        <w:rPr>
          <w:rFonts w:hint="eastAsia"/>
          <w:szCs w:val="32"/>
        </w:rPr>
        <w:t xml:space="preserve">202</w:t>
      </w:r>
      <w:r>
        <w:rPr>
          <w:rFonts w:hint="eastAsia"/>
          <w:szCs w:val="32"/>
          <w:lang w:val="en-US" w:eastAsia="zh-CN"/>
        </w:rPr>
        <w:t xml:space="preserve">5</w:t>
      </w:r>
      <w:r>
        <w:rPr>
          <w:rFonts w:hint="eastAsia"/>
          <w:szCs w:val="32"/>
        </w:rPr>
        <w:t xml:space="preserve">年</w:t>
      </w:r>
      <w:r>
        <w:rPr>
          <w:rFonts w:hint="eastAsia"/>
          <w:szCs w:val="32"/>
          <w:lang w:val="en-US" w:eastAsia="zh-CN"/>
        </w:rPr>
        <w:t xml:space="preserve">12</w:t>
      </w:r>
      <w:r>
        <w:rPr>
          <w:rFonts w:hint="eastAsia"/>
          <w:szCs w:val="32"/>
        </w:rPr>
        <w:t xml:space="preserve">月</w:t>
      </w:r>
      <w:r>
        <w:rPr>
          <w:rFonts w:hint="eastAsia"/>
          <w:szCs w:val="32"/>
          <w:lang w:val="en-US" w:eastAsia="zh-CN"/>
        </w:rPr>
        <w:t xml:space="preserve">15</w:t>
      </w:r>
      <w:r>
        <w:rPr>
          <w:rFonts w:hint="eastAsia"/>
          <w:szCs w:val="32"/>
        </w:rPr>
        <w:t xml:space="preserve">日 </w:t>
      </w:r>
      <w:r>
        <w:rPr>
          <w:rFonts w:hint="eastAsia"/>
          <w:szCs w:val="32"/>
          <w:lang w:val="en-US" w:eastAsia="zh-CN"/>
        </w:rPr>
        <w:t xml:space="preserve">9：30</w:t>
      </w:r>
      <w:r>
        <w:rPr>
          <w:rFonts w:hint="eastAsia"/>
          <w:szCs w:val="32"/>
        </w:rPr>
        <w:t xml:space="preserve">（北京时间）</w:t>
      </w:r>
      <w:r>
        <w:rPr>
          <w:rFonts w:hint="eastAsia"/>
          <w:szCs w:val="32"/>
        </w:rPr>
      </w:r>
      <w:r/>
    </w:p>
    <w:p>
      <w:pPr>
        <w:pStyle w:val="1136"/>
        <w:ind w:firstLine="420"/>
        <w:spacing w:line="360" w:lineRule="auto"/>
        <w:rPr>
          <w:rFonts w:hint="eastAsia"/>
          <w:szCs w:val="32"/>
        </w:rPr>
      </w:pPr>
      <w:r>
        <w:rPr>
          <w:rFonts w:hint="eastAsia"/>
          <w:szCs w:val="32"/>
        </w:rPr>
        <w:t xml:space="preserve">地点：本项目采用不见面交易方式，无需到现场提交，供应商登录“苏采云”政府采购交易系统网上开标大厅，通过系统在线解密电子响应文件</w:t>
      </w:r>
      <w:bookmarkEnd w:id="20"/>
      <w:r>
        <w:rPr>
          <w:rFonts w:hint="eastAsia"/>
          <w:szCs w:val="32"/>
        </w:rPr>
      </w:r>
      <w:r/>
    </w:p>
    <w:p>
      <w:pPr>
        <w:pStyle w:val="1138"/>
        <w:jc w:val="left"/>
        <w:spacing w:before="0" w:line="360" w:lineRule="auto"/>
        <w:rPr>
          <w:rFonts w:hint="eastAsia" w:ascii="Times New Roman" w:hAnsi="Times New Roman" w:eastAsia="宋体"/>
          <w:bCs/>
          <w:sz w:val="21"/>
          <w:szCs w:val="32"/>
        </w:rPr>
      </w:pPr>
      <w:r/>
      <w:bookmarkStart w:id="21" w:name="_Toc28359007"/>
      <w:r/>
      <w:bookmarkStart w:id="22" w:name="_Toc35393794"/>
      <w:r/>
      <w:bookmarkStart w:id="23" w:name="_Toc28359084"/>
      <w:r/>
      <w:bookmarkStart w:id="24" w:name="_Toc35393625"/>
      <w:r>
        <w:rPr>
          <w:rFonts w:hint="eastAsia" w:ascii="Times New Roman" w:hAnsi="Times New Roman" w:eastAsia="宋体"/>
          <w:bCs/>
          <w:sz w:val="21"/>
          <w:szCs w:val="32"/>
        </w:rPr>
        <w:t xml:space="preserve">六、公告期限</w:t>
      </w:r>
      <w:bookmarkEnd w:id="21"/>
      <w:r/>
      <w:bookmarkEnd w:id="22"/>
      <w:r/>
      <w:bookmarkEnd w:id="23"/>
      <w:r/>
      <w:bookmarkEnd w:id="24"/>
      <w:r>
        <w:rPr>
          <w:rFonts w:hint="eastAsia" w:ascii="Times New Roman" w:hAnsi="Times New Roman" w:eastAsia="宋体"/>
          <w:bCs/>
          <w:sz w:val="21"/>
          <w:szCs w:val="32"/>
        </w:rPr>
      </w:r>
      <w:r/>
    </w:p>
    <w:p>
      <w:pPr>
        <w:pStyle w:val="1136"/>
        <w:ind w:firstLine="420"/>
        <w:spacing w:line="360" w:lineRule="auto"/>
        <w:rPr>
          <w:rFonts w:hint="eastAsia"/>
          <w:szCs w:val="32"/>
        </w:rPr>
      </w:pPr>
      <w:r>
        <w:rPr>
          <w:rFonts w:hint="eastAsia"/>
          <w:szCs w:val="32"/>
        </w:rPr>
        <w:t xml:space="preserve">自本公告发布之日起</w:t>
      </w:r>
      <w:r>
        <w:rPr>
          <w:rFonts w:hint="eastAsia"/>
          <w:szCs w:val="32"/>
          <w:lang w:val="en-US" w:eastAsia="zh-CN"/>
        </w:rPr>
        <w:t xml:space="preserve">3</w:t>
      </w:r>
      <w:r>
        <w:rPr>
          <w:rFonts w:hint="eastAsia"/>
          <w:szCs w:val="32"/>
        </w:rPr>
        <w:t xml:space="preserve">个工作日。</w:t>
      </w:r>
      <w:r>
        <w:rPr>
          <w:rFonts w:hint="eastAsia"/>
          <w:szCs w:val="32"/>
        </w:rPr>
      </w:r>
      <w:r/>
    </w:p>
    <w:p>
      <w:pPr>
        <w:pStyle w:val="1136"/>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136"/>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136"/>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148"/>
        <w:ind w:firstLine="420"/>
        <w:spacing w:line="360" w:lineRule="auto"/>
        <w:rPr>
          <w:rFonts w:hint="eastAsia" w:ascii="Times New Roman" w:hAnsi="Times New Roman" w:cs="Times New Roman"/>
          <w:color w:val="000000"/>
          <w:sz w:val="21"/>
          <w:szCs w:val="32"/>
        </w:rPr>
      </w:pPr>
      <w:r>
        <w:rPr>
          <w:rFonts w:hint="eastAsia" w:ascii="Times New Roman" w:hAnsi="Times New Roman" w:cs="Times New Roman"/>
          <w:color w:val="000000"/>
          <w:sz w:val="21"/>
          <w:szCs w:val="32"/>
        </w:rPr>
        <w:t xml:space="preserve">CA认证证书办理联系电话   0519-85588120</w:t>
      </w:r>
      <w:r>
        <w:rPr>
          <w:rFonts w:hint="eastAsia" w:ascii="Times New Roman" w:hAnsi="Times New Roman" w:cs="Times New Roman"/>
          <w:color w:val="000000"/>
          <w:sz w:val="21"/>
          <w:szCs w:val="32"/>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2.关于常州市中小企业政府采购信用融资：</w:t>
      </w:r>
      <w:r>
        <w:rPr>
          <w:rFonts w:hint="eastAsia" w:ascii="宋体" w:hAnsi="宋体" w:cs="宋体"/>
          <w:szCs w:val="21"/>
        </w:rPr>
      </w:r>
      <w:r/>
    </w:p>
    <w:p>
      <w:pPr>
        <w:pStyle w:val="1136"/>
        <w:ind w:firstLine="420"/>
        <w:spacing w:line="360" w:lineRule="auto"/>
        <w:rPr>
          <w:rFonts w:hint="eastAsia" w:ascii="宋体" w:hAnsi="宋体" w:cs="宋体"/>
          <w:szCs w:val="21"/>
          <w:lang w:eastAsia="zh-CN"/>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eastAsia="zh-CN"/>
        </w:rPr>
        <w:t xml:space="preserve">。</w:t>
      </w:r>
      <w:r>
        <w:rPr>
          <w:rFonts w:hint="eastAsia" w:ascii="宋体" w:hAnsi="宋体" w:cs="宋体"/>
          <w:szCs w:val="21"/>
          <w:lang w:eastAsia="zh-CN"/>
        </w:rPr>
      </w:r>
      <w:r/>
    </w:p>
    <w:p>
      <w:pPr>
        <w:pStyle w:val="1136"/>
        <w:ind w:firstLine="430"/>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136"/>
        <w:ind w:firstLine="420"/>
        <w:keepLines w:val="0"/>
        <w:keepNext w:val="0"/>
        <w:pageBreakBefore w:val="0"/>
        <w:spacing w:line="360" w:lineRule="auto"/>
        <w:widowControl w:val="off"/>
        <w:rPr>
          <w:rFonts w:hint="eastAsia" w:ascii="宋体" w:hAnsi="宋体" w:cs="宋体"/>
          <w:szCs w:val="21"/>
        </w:rPr>
      </w:pPr>
      <w:r/>
      <w:bookmarkStart w:id="25" w:name="_Toc127161488"/>
      <w:r/>
      <w:bookmarkStart w:id="26" w:name="_Toc353873938"/>
      <w:r/>
      <w:bookmarkStart w:id="27" w:name="_Toc353825548"/>
      <w:r/>
      <w:bookmarkStart w:id="28" w:name="_Toc305158928"/>
      <w:r/>
      <w:bookmarkStart w:id="29" w:name="_Toc127151777"/>
      <w:r/>
      <w:bookmarkStart w:id="30" w:name="_Toc305158854"/>
      <w:r/>
      <w:bookmarkStart w:id="31" w:name="_Toc512937850"/>
      <w:r/>
      <w:bookmarkStart w:id="32" w:name="_Toc150774783"/>
      <w:r/>
      <w:bookmarkStart w:id="33" w:name="_Toc6690"/>
      <w:r/>
      <w:bookmarkStart w:id="34" w:name="_Toc226965856"/>
      <w:r/>
      <w:bookmarkStart w:id="35" w:name="_Toc195842950"/>
      <w:r/>
      <w:bookmarkStart w:id="36" w:name="_Toc264969275"/>
      <w:r/>
      <w:bookmarkStart w:id="37" w:name="_Toc104818926"/>
      <w:r/>
      <w:bookmarkStart w:id="38" w:name="_Toc265228423"/>
      <w:r/>
      <w:bookmarkStart w:id="39" w:name="_Toc164229214"/>
      <w:r/>
      <w:bookmarkStart w:id="40" w:name="_Toc127161433"/>
      <w:r/>
      <w:bookmarkStart w:id="41" w:name="_Toc150774619"/>
      <w:r/>
      <w:bookmarkStart w:id="42" w:name="_Toc151193761"/>
      <w:r/>
      <w:bookmarkStart w:id="43" w:name="_Toc520356144"/>
      <w:r/>
      <w:bookmarkStart w:id="44" w:name="_Toc195842884"/>
      <w:r/>
      <w:bookmarkStart w:id="45" w:name="_Toc151193689"/>
      <w:r/>
      <w:bookmarkStart w:id="46" w:name="_Toc151190146"/>
      <w:r/>
      <w:bookmarkStart w:id="47" w:name="_Toc150774724"/>
      <w:r/>
      <w:bookmarkStart w:id="48" w:name="_Toc127151519"/>
      <w:r/>
      <w:bookmarkStart w:id="49" w:name="_Toc226309763"/>
      <w:r/>
      <w:bookmarkStart w:id="50" w:name="_Toc151193833"/>
      <w:r/>
      <w:bookmarkStart w:id="51" w:name="_Toc164608633"/>
      <w:r/>
      <w:bookmarkStart w:id="52" w:name="_Toc226965792"/>
      <w:r/>
      <w:bookmarkStart w:id="53" w:name="_Toc226337215"/>
      <w:r/>
      <w:bookmarkStart w:id="54" w:name="_Toc226965709"/>
      <w:r/>
      <w:bookmarkStart w:id="55" w:name="_Toc150509270"/>
      <w:r/>
      <w:bookmarkStart w:id="56" w:name="_Toc164608788"/>
      <w:r/>
      <w:bookmarkStart w:id="57" w:name="_Toc142311021"/>
      <w:r/>
      <w:bookmarkStart w:id="58" w:name="_Toc150480757"/>
      <w:r/>
      <w:bookmarkStart w:id="59" w:name="_Toc164229360"/>
      <w:r/>
      <w:bookmarkStart w:id="60" w:name="_Toc149720812"/>
      <w:r/>
      <w:bookmarkStart w:id="61" w:name="_Toc164351613"/>
      <w:r/>
      <w:bookmarkStart w:id="62" w:name="_Toc127151720"/>
      <w:r/>
      <w:bookmarkStart w:id="63" w:name="_Toc151193617"/>
      <w:r/>
      <w:bookmarkStart w:id="64" w:name="_Toc151193907"/>
      <w:r>
        <w:rPr>
          <w:rFonts w:hint="eastAsia" w:ascii="宋体" w:hAnsi="宋体" w:cs="宋体"/>
          <w:szCs w:val="21"/>
        </w:rPr>
        <w:t xml:space="preserve">1.采购人信息</w:t>
      </w:r>
      <w:r>
        <w:rPr>
          <w:rFonts w:hint="eastAsia" w:ascii="宋体" w:hAnsi="宋体" w:cs="宋体"/>
          <w:szCs w:val="21"/>
        </w:rPr>
      </w:r>
      <w:r/>
    </w:p>
    <w:p>
      <w:pPr>
        <w:pStyle w:val="1136"/>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lang w:eastAsia="zh-CN"/>
        </w:rPr>
        <w:t xml:space="preserve">江苏省常州体育运动学校</w:t>
      </w:r>
      <w:r>
        <w:rPr>
          <w:rFonts w:hint="eastAsia" w:ascii="宋体" w:hAnsi="宋体" w:eastAsia="宋体" w:cs="宋体"/>
          <w:szCs w:val="21"/>
        </w:rPr>
        <w:t xml:space="preserve"> </w:t>
      </w:r>
      <w:r>
        <w:rPr>
          <w:rFonts w:hint="eastAsia" w:ascii="宋体" w:hAnsi="宋体" w:eastAsia="宋体" w:cs="宋体"/>
          <w:szCs w:val="21"/>
        </w:rPr>
      </w:r>
      <w:r/>
    </w:p>
    <w:p>
      <w:pPr>
        <w:pStyle w:val="1136"/>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eastAsia="宋体" w:cs="宋体"/>
          <w:szCs w:val="21"/>
          <w:lang w:eastAsia="zh-CN"/>
        </w:rPr>
        <w:t xml:space="preserve">江苏省常州市新北区晋陵北路11号</w:t>
      </w:r>
      <w:r>
        <w:rPr>
          <w:rFonts w:ascii="宋体" w:hAnsi="宋体" w:cs="宋体"/>
          <w:szCs w:val="21"/>
        </w:rPr>
      </w:r>
      <w:r/>
    </w:p>
    <w:p>
      <w:pPr>
        <w:pStyle w:val="1136"/>
        <w:ind w:firstLine="428"/>
        <w:spacing w:line="360" w:lineRule="auto"/>
        <w:rPr>
          <w:rFonts w:hint="eastAsia" w:eastAsia="宋体" w:cs="宋体"/>
          <w:bCs/>
          <w:color w:val="000000"/>
          <w:spacing w:val="2"/>
          <w:lang w:val="en-US" w:eastAsia="zh-CN"/>
        </w:rPr>
      </w:pPr>
      <w:r>
        <w:rPr>
          <w:rFonts w:hint="eastAsia" w:cs="宋体"/>
          <w:bCs/>
          <w:color w:val="000000"/>
          <w:spacing w:val="2"/>
        </w:rPr>
        <w:t xml:space="preserve">联系人：</w:t>
      </w:r>
      <w:r>
        <w:rPr>
          <w:rFonts w:hint="eastAsia" w:cs="宋体"/>
          <w:bCs/>
          <w:color w:val="000000"/>
          <w:spacing w:val="2"/>
          <w:lang w:val="en-US" w:eastAsia="zh-CN"/>
        </w:rPr>
        <w:t xml:space="preserve">孙先生</w:t>
      </w:r>
      <w:r>
        <w:rPr>
          <w:rFonts w:hint="eastAsia" w:eastAsia="宋体" w:cs="宋体"/>
          <w:bCs/>
          <w:color w:val="000000"/>
          <w:spacing w:val="2"/>
          <w:lang w:val="en-US" w:eastAsia="zh-CN"/>
        </w:rPr>
      </w:r>
      <w:r/>
    </w:p>
    <w:p>
      <w:pPr>
        <w:pStyle w:val="1136"/>
        <w:ind w:firstLine="428"/>
        <w:spacing w:line="360" w:lineRule="auto"/>
        <w:rPr>
          <w:rFonts w:eastAsia="宋体" w:cs="宋体"/>
          <w:bCs/>
          <w:color w:val="000000"/>
          <w:spacing w:val="2"/>
          <w:highlight w:val="none"/>
          <w:lang w:val="en-US" w:eastAsia="zh-CN"/>
        </w:rPr>
      </w:pPr>
      <w:r>
        <w:rPr>
          <w:rFonts w:hint="eastAsia" w:cs="宋体"/>
          <w:bCs/>
          <w:color w:val="000000"/>
          <w:spacing w:val="2"/>
          <w:highlight w:val="none"/>
        </w:rPr>
        <w:t xml:space="preserve">电话： </w:t>
      </w:r>
      <w:r>
        <w:rPr>
          <w:rFonts w:hint="eastAsia" w:cs="宋体"/>
          <w:bCs/>
          <w:color w:val="000000"/>
          <w:spacing w:val="2"/>
          <w:highlight w:val="none"/>
          <w:lang w:val="en-US" w:eastAsia="zh-CN"/>
        </w:rPr>
        <w:t xml:space="preserve">0519-85125897</w:t>
      </w:r>
      <w:r>
        <w:rPr>
          <w:rFonts w:eastAsia="宋体" w:cs="宋体"/>
          <w:bCs/>
          <w:color w:val="000000"/>
          <w:spacing w:val="2"/>
          <w:highlight w:val="none"/>
          <w:lang w:val="en-US" w:eastAsia="zh-CN"/>
        </w:rPr>
      </w:r>
      <w:r/>
    </w:p>
    <w:p>
      <w:pPr>
        <w:pStyle w:val="113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113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名 称：常州正衡招投标有限公司 </w:t>
      </w:r>
      <w:r>
        <w:rPr>
          <w:rFonts w:hint="eastAsia" w:ascii="宋体" w:hAnsi="宋体" w:cs="宋体"/>
          <w:szCs w:val="21"/>
        </w:rPr>
      </w:r>
      <w:r/>
    </w:p>
    <w:p>
      <w:pPr>
        <w:pStyle w:val="113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地 址：常州市新北区新城府翰苑6栋9楼</w:t>
      </w:r>
      <w:r>
        <w:rPr>
          <w:rFonts w:hint="eastAsia" w:ascii="宋体" w:hAnsi="宋体" w:cs="宋体"/>
          <w:szCs w:val="21"/>
        </w:rPr>
      </w:r>
      <w:r/>
    </w:p>
    <w:p>
      <w:pPr>
        <w:pStyle w:val="113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113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项目联系人：刘欢</w:t>
      </w:r>
      <w:r>
        <w:rPr>
          <w:rFonts w:hint="eastAsia" w:ascii="宋体" w:hAnsi="宋体" w:cs="宋体"/>
          <w:szCs w:val="21"/>
        </w:rPr>
      </w:r>
      <w:r/>
    </w:p>
    <w:p>
      <w:pPr>
        <w:pStyle w:val="1136"/>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电　话：0519-85510566</w:t>
      </w:r>
      <w:r>
        <w:rPr>
          <w:rFonts w:hint="eastAsia" w:ascii="宋体" w:hAnsi="宋体" w:cs="宋体"/>
          <w:szCs w:val="21"/>
        </w:rPr>
      </w:r>
      <w:r/>
    </w:p>
    <w:p>
      <w:pPr>
        <w:pStyle w:val="1136"/>
        <w:ind w:firstLine="480"/>
        <w:spacing w:line="360" w:lineRule="auto"/>
        <w:rPr>
          <w:b/>
          <w:sz w:val="36"/>
          <w:szCs w:val="36"/>
        </w:rPr>
      </w:pPr>
      <w:r>
        <w:rPr>
          <w:rFonts w:ascii="Times New Roman" w:hAnsi="Times New Roman"/>
          <w:sz w:val="24"/>
          <w:szCs w:val="24"/>
        </w:rPr>
        <w:br w:type="page" w:clear="all"/>
      </w:r>
      <w:r>
        <w:rPr>
          <w:b/>
          <w:sz w:val="36"/>
          <w:szCs w:val="36"/>
        </w:rPr>
      </w:r>
      <w:r/>
    </w:p>
    <w:p>
      <w:pPr>
        <w:pStyle w:val="1136"/>
        <w:jc w:val="center"/>
        <w:spacing w:line="360" w:lineRule="auto"/>
        <w:rPr>
          <w:b/>
          <w:sz w:val="32"/>
          <w:szCs w:val="32"/>
        </w:rPr>
        <w:outlineLvl w:val="0"/>
      </w:pPr>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b/>
          <w:sz w:val="32"/>
          <w:szCs w:val="32"/>
        </w:rPr>
      </w:r>
      <w:r/>
    </w:p>
    <w:p>
      <w:pPr>
        <w:pStyle w:val="1138"/>
        <w:spacing w:before="0" w:line="360" w:lineRule="auto"/>
        <w:tabs>
          <w:tab w:val="center" w:pos="4592" w:leader="none"/>
          <w:tab w:val="left" w:pos="7860" w:leader="none"/>
        </w:tabs>
        <w:rPr>
          <w:rFonts w:ascii="Times New Roman" w:hAnsi="Times New Roman" w:eastAsia="宋体"/>
          <w:b w:val="0"/>
          <w:sz w:val="28"/>
        </w:rPr>
      </w:pPr>
      <w:r>
        <w:rPr>
          <w:rFonts w:ascii="Times New Roman" w:hAnsi="Times New Roman" w:eastAsia="宋体"/>
          <w:sz w:val="28"/>
        </w:rPr>
        <w:t xml:space="preserve">供应商须知资料表</w:t>
      </w:r>
      <w:r>
        <w:rPr>
          <w:rFonts w:ascii="Times New Roman" w:hAnsi="Times New Roman" w:eastAsia="宋体"/>
          <w:b w:val="0"/>
          <w:sz w:val="28"/>
        </w:rPr>
      </w:r>
      <w:r/>
    </w:p>
    <w:p>
      <w:pPr>
        <w:pStyle w:val="1136"/>
        <w:jc w:val="center"/>
        <w:rPr>
          <w:b/>
          <w:sz w:val="28"/>
          <w:szCs w:val="28"/>
        </w:rPr>
      </w:pPr>
      <w:r>
        <w:rPr>
          <w:b/>
          <w:sz w:val="28"/>
          <w:szCs w:val="28"/>
        </w:rPr>
      </w:r>
      <w:r/>
    </w:p>
    <w:p>
      <w:pPr>
        <w:pStyle w:val="1136"/>
        <w:jc w:val="left"/>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ascii="Wingdings 2" w:hAnsi="Wingdings 2" w:eastAsia="Wingdings 2" w:cs="Wingdings 2"/>
          <w:szCs w:val="21"/>
        </w:rPr>
        <w:t xml:space="preserve">R</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36"/>
              <w:jc w:val="center"/>
              <w:rPr>
                <w:b/>
                <w:bCs/>
                <w:sz w:val="24"/>
              </w:rPr>
            </w:pPr>
            <w:r>
              <w:rPr>
                <w:b/>
                <w:sz w:val="24"/>
              </w:rPr>
              <w:t xml:space="preserve">条款号</w:t>
            </w:r>
            <w:r>
              <w:rPr>
                <w:b/>
                <w:bCs/>
                <w:sz w:val="24"/>
              </w:rPr>
            </w:r>
            <w:r/>
          </w:p>
        </w:tc>
        <w:tc>
          <w:tcPr>
            <w:tcW w:w="1701" w:type="dxa"/>
            <w:vAlign w:val="center"/>
            <w:textDirection w:val="lrTb"/>
            <w:noWrap w:val="false"/>
          </w:tcPr>
          <w:p>
            <w:pPr>
              <w:pStyle w:val="1136"/>
              <w:jc w:val="center"/>
              <w:rPr>
                <w:b/>
                <w:bCs/>
                <w:sz w:val="24"/>
              </w:rPr>
            </w:pPr>
            <w:r>
              <w:rPr>
                <w:b/>
                <w:bCs/>
                <w:sz w:val="24"/>
              </w:rPr>
              <w:t xml:space="preserve">条目</w:t>
            </w:r>
            <w:r>
              <w:rPr>
                <w:b/>
                <w:bCs/>
                <w:sz w:val="24"/>
              </w:rPr>
            </w:r>
            <w:r/>
          </w:p>
        </w:tc>
        <w:tc>
          <w:tcPr>
            <w:tcW w:w="7253" w:type="dxa"/>
            <w:vAlign w:val="center"/>
            <w:textDirection w:val="lrTb"/>
            <w:noWrap w:val="false"/>
          </w:tcPr>
          <w:p>
            <w:pPr>
              <w:pStyle w:val="1136"/>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176"/>
              <w:jc w:val="center"/>
              <w:rPr>
                <w:rFonts w:hAnsi="宋体" w:cs="宋体"/>
                <w:szCs w:val="21"/>
              </w:rPr>
            </w:pPr>
            <w:r>
              <w:rPr>
                <w:rFonts w:hAnsi="宋体" w:cs="宋体"/>
                <w:szCs w:val="21"/>
              </w:rPr>
              <w:t xml:space="preserve">2.2</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253" w:type="dxa"/>
            <w:vAlign w:val="center"/>
            <w:textDirection w:val="lrTb"/>
            <w:noWrap w:val="false"/>
          </w:tcPr>
          <w:p>
            <w:pPr>
              <w:pStyle w:val="1136"/>
              <w:jc w:val="left"/>
              <w:rPr>
                <w:rFonts w:ascii="宋体" w:hAnsi="宋体" w:cs="宋体"/>
                <w:szCs w:val="21"/>
              </w:rPr>
            </w:pPr>
            <w:r>
              <w:rPr>
                <w:rFonts w:hint="eastAsia" w:ascii="宋体" w:hAnsi="宋体" w:cs="宋体"/>
                <w:szCs w:val="21"/>
              </w:rPr>
              <w:t xml:space="preserve">项目属性：</w:t>
            </w:r>
            <w:r>
              <w:rPr>
                <w:rFonts w:ascii="宋体" w:hAnsi="宋体" w:cs="宋体"/>
                <w:szCs w:val="21"/>
              </w:rPr>
            </w:r>
            <w:r/>
          </w:p>
          <w:p>
            <w:pPr>
              <w:pStyle w:val="1136"/>
              <w:jc w:val="left"/>
              <w:rPr>
                <w:rFonts w:ascii="宋体" w:hAnsi="宋体" w:cs="宋体"/>
                <w:szCs w:val="21"/>
                <w:u w:val="single"/>
              </w:rPr>
            </w:pPr>
            <w:r>
              <w:rPr>
                <w:rFonts w:hint="eastAsia" w:ascii="宋体" w:hAnsi="宋体" w:cs="宋体"/>
                <w:szCs w:val="21"/>
              </w:rPr>
              <w:t xml:space="preserve">服务</w:t>
            </w:r>
            <w:r>
              <w:rPr>
                <w:rFonts w:ascii="宋体" w:hAnsi="宋体" w:cs="宋体"/>
                <w:szCs w:val="21"/>
                <w:u w:val="single"/>
              </w:rPr>
            </w:r>
            <w:r/>
          </w:p>
        </w:tc>
      </w:tr>
      <w:tr>
        <w:trPr>
          <w:trHeight w:val="20"/>
        </w:trPr>
        <w:tc>
          <w:tcPr>
            <w:tcW w:w="988" w:type="dxa"/>
            <w:vAlign w:val="center"/>
            <w:textDirection w:val="lrTb"/>
            <w:noWrap w:val="false"/>
          </w:tcPr>
          <w:p>
            <w:pPr>
              <w:pStyle w:val="1176"/>
              <w:jc w:val="center"/>
              <w:rPr>
                <w:rFonts w:hAnsi="宋体" w:cs="宋体"/>
                <w:szCs w:val="21"/>
              </w:rPr>
            </w:pPr>
            <w:r>
              <w:rPr>
                <w:rFonts w:hAnsi="宋体" w:cs="宋体"/>
                <w:szCs w:val="21"/>
              </w:rPr>
              <w:t xml:space="preserve">2.3</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253" w:type="dxa"/>
            <w:vAlign w:val="center"/>
            <w:textDirection w:val="lrTb"/>
            <w:noWrap w:val="false"/>
          </w:tcPr>
          <w:p>
            <w:pPr>
              <w:pStyle w:val="1136"/>
              <w:jc w:val="left"/>
              <w:rPr>
                <w:rFonts w:ascii="宋体" w:hAnsi="宋体" w:cs="宋体"/>
                <w:szCs w:val="21"/>
              </w:rPr>
            </w:pPr>
            <w:r>
              <w:rPr>
                <w:rFonts w:hint="eastAsia" w:ascii="宋体" w:hAnsi="宋体" w:cs="宋体"/>
                <w:szCs w:val="21"/>
              </w:rPr>
              <w:t xml:space="preserve">是否属于科研仪器设备采购项目：</w:t>
            </w:r>
            <w:r>
              <w:rPr>
                <w:rFonts w:ascii="宋体" w:hAnsi="宋体" w:cs="宋体"/>
                <w:szCs w:val="21"/>
              </w:rPr>
            </w:r>
            <w:r/>
          </w:p>
          <w:p>
            <w:pPr>
              <w:pStyle w:val="1136"/>
              <w:jc w:val="left"/>
              <w:rPr>
                <w:rFonts w:ascii="宋体" w:hAnsi="宋体" w:cs="宋体"/>
                <w:szCs w:val="21"/>
              </w:rPr>
            </w:pPr>
            <w:r>
              <w:rPr>
                <w:rFonts w:hint="eastAsia" w:ascii="宋体" w:hAnsi="宋体" w:cs="宋体"/>
                <w:szCs w:val="21"/>
              </w:rPr>
              <w:t xml:space="preserve">□是</w:t>
            </w:r>
            <w:r>
              <w:rPr>
                <w:rFonts w:ascii="宋体" w:hAnsi="宋体" w:cs="宋体"/>
                <w:szCs w:val="21"/>
              </w:rPr>
            </w:r>
            <w:r/>
          </w:p>
          <w:p>
            <w:pPr>
              <w:pStyle w:val="1136"/>
              <w:jc w:val="left"/>
              <w:rPr>
                <w:rFonts w:ascii="宋体" w:hAnsi="宋体" w:cs="宋体"/>
                <w:szCs w:val="21"/>
              </w:rPr>
            </w:pPr>
            <w:r>
              <w:rPr>
                <w:rFonts w:hint="eastAsia" w:ascii="宋体" w:hAnsi="宋体" w:cs="宋体"/>
                <w:szCs w:val="21"/>
              </w:rPr>
              <w:t xml:space="preserve">☑否</w:t>
            </w:r>
            <w:r>
              <w:rPr>
                <w:rFonts w:ascii="宋体" w:hAnsi="宋体" w:cs="宋体"/>
                <w:szCs w:val="21"/>
              </w:rPr>
            </w:r>
            <w:r/>
          </w:p>
        </w:tc>
      </w:tr>
      <w:tr>
        <w:trPr>
          <w:trHeight w:val="20"/>
        </w:trPr>
        <w:tc>
          <w:tcPr>
            <w:tcW w:w="988" w:type="dxa"/>
            <w:vAlign w:val="center"/>
            <w:vMerge w:val="restart"/>
            <w:textDirection w:val="lrTb"/>
            <w:noWrap w:val="false"/>
          </w:tcPr>
          <w:p>
            <w:pPr>
              <w:pStyle w:val="1176"/>
              <w:jc w:val="center"/>
              <w:rPr>
                <w:rFonts w:hAnsi="宋体" w:cs="宋体"/>
                <w:szCs w:val="21"/>
              </w:rPr>
            </w:pPr>
            <w:r>
              <w:rPr>
                <w:rFonts w:hAnsi="宋体" w:cs="宋体"/>
                <w:szCs w:val="21"/>
              </w:rPr>
              <w:t xml:space="preserve">3.1</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253" w:type="dxa"/>
            <w:vAlign w:val="center"/>
            <w:textDirection w:val="lrTb"/>
            <w:noWrap w:val="false"/>
          </w:tcPr>
          <w:p>
            <w:pPr>
              <w:pStyle w:val="1136"/>
              <w:jc w:val="left"/>
              <w:rPr>
                <w:rFonts w:ascii="宋体" w:hAnsi="宋体" w:cs="宋体"/>
                <w:szCs w:val="21"/>
              </w:rPr>
            </w:pPr>
            <w:r>
              <w:rPr>
                <w:rFonts w:hint="eastAsia" w:ascii="宋体" w:hAnsi="宋体" w:cs="宋体"/>
                <w:szCs w:val="21"/>
              </w:rPr>
              <w:t xml:space="preserve">☑不组织</w:t>
            </w:r>
            <w:r>
              <w:rPr>
                <w:rFonts w:ascii="宋体" w:hAnsi="宋体" w:cs="宋体"/>
                <w:szCs w:val="21"/>
              </w:rPr>
            </w:r>
            <w:r/>
          </w:p>
          <w:p>
            <w:pPr>
              <w:pStyle w:val="1136"/>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1176"/>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988" w:type="dxa"/>
            <w:vAlign w:val="center"/>
            <w:vMerge w:val="continue"/>
            <w:textDirection w:val="lrTb"/>
            <w:noWrap w:val="false"/>
          </w:tcPr>
          <w:p>
            <w:pPr>
              <w:pStyle w:val="1176"/>
              <w:jc w:val="center"/>
              <w:rPr>
                <w:rFonts w:hAnsi="宋体" w:cs="宋体"/>
                <w:szCs w:val="21"/>
              </w:rPr>
            </w:pP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磋商前答疑会</w:t>
            </w:r>
            <w:r>
              <w:rPr>
                <w:rFonts w:ascii="宋体" w:hAnsi="宋体" w:cs="宋体"/>
                <w:szCs w:val="21"/>
              </w:rPr>
            </w:r>
            <w:r/>
          </w:p>
        </w:tc>
        <w:tc>
          <w:tcPr>
            <w:tcW w:w="7253" w:type="dxa"/>
            <w:vAlign w:val="center"/>
            <w:textDirection w:val="lrTb"/>
            <w:noWrap w:val="false"/>
          </w:tcPr>
          <w:p>
            <w:pPr>
              <w:pStyle w:val="1136"/>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136"/>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136"/>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680"/>
        </w:trPr>
        <w:tc>
          <w:tcPr>
            <w:tcW w:w="988" w:type="dxa"/>
            <w:vAlign w:val="center"/>
            <w:textDirection w:val="lrTb"/>
            <w:noWrap w:val="false"/>
          </w:tcPr>
          <w:p>
            <w:pPr>
              <w:pStyle w:val="1176"/>
              <w:jc w:val="center"/>
              <w:rPr>
                <w:rFonts w:hAnsi="宋体" w:cs="宋体"/>
                <w:szCs w:val="21"/>
              </w:rPr>
            </w:pPr>
            <w:r>
              <w:rPr>
                <w:rFonts w:hAnsi="宋体" w:cs="宋体"/>
                <w:szCs w:val="21"/>
              </w:rPr>
              <w:t xml:space="preserve">4.2.5</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253" w:type="dxa"/>
            <w:vAlign w:val="center"/>
            <w:textDirection w:val="lrTb"/>
            <w:noWrap w:val="false"/>
          </w:tcPr>
          <w:p>
            <w:pPr>
              <w:pStyle w:val="1136"/>
              <w:jc w:val="left"/>
              <w:rPr>
                <w:rFonts w:hint="eastAsia" w:ascii="宋体" w:hAnsi="宋体" w:eastAsia="宋体" w:cs="宋体"/>
                <w:szCs w:val="21"/>
                <w:lang w:val="en-US" w:eastAsia="zh-CN"/>
              </w:rPr>
            </w:pPr>
            <w:r>
              <w:rPr>
                <w:rFonts w:hint="eastAsia" w:ascii="宋体" w:hAnsi="宋体" w:eastAsia="宋体" w:cs="宋体"/>
                <w:szCs w:val="21"/>
              </w:rPr>
              <w:t xml:space="preserve">本项目采购标的对应的中小企业划分标准所属行业：</w:t>
            </w:r>
            <w:r>
              <w:rPr>
                <w:rFonts w:hint="eastAsia" w:ascii="宋体" w:hAnsi="宋体" w:eastAsia="宋体" w:cs="宋体"/>
                <w:szCs w:val="21"/>
                <w:lang w:val="en-US" w:eastAsia="zh-CN"/>
              </w:rPr>
              <w:t xml:space="preserve">批发业</w:t>
            </w:r>
            <w:r>
              <w:rPr>
                <w:rFonts w:hint="eastAsia" w:ascii="宋体" w:hAnsi="宋体" w:eastAsia="宋体" w:cs="宋体"/>
                <w:szCs w:val="21"/>
                <w:lang w:val="en-US" w:eastAsia="zh-CN"/>
              </w:rPr>
            </w:r>
            <w:r/>
          </w:p>
          <w:p>
            <w:pPr>
              <w:pStyle w:val="1136"/>
              <w:jc w:val="left"/>
              <w:rPr>
                <w:rFonts w:hint="eastAsia" w:ascii="宋体" w:hAnsi="宋体" w:eastAsia="宋体" w:cs="宋体"/>
                <w:szCs w:val="21"/>
                <w:u w:val="single"/>
                <w:lang w:eastAsia="zh-CN"/>
              </w:rPr>
            </w:pPr>
            <w:r>
              <w:rPr>
                <w:rFonts w:hint="eastAsia" w:ascii="宋体" w:hAnsi="宋体" w:eastAsia="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Cs w:val="21"/>
                <w:u w:val="single"/>
                <w:lang w:eastAsia="zh-CN"/>
              </w:rPr>
            </w:r>
            <w:r/>
          </w:p>
        </w:tc>
      </w:tr>
      <w:tr>
        <w:trPr>
          <w:trHeight w:val="890"/>
        </w:trPr>
        <w:tc>
          <w:tcPr>
            <w:tcW w:w="988" w:type="dxa"/>
            <w:vAlign w:val="center"/>
            <w:textDirection w:val="lrTb"/>
            <w:noWrap w:val="false"/>
          </w:tcPr>
          <w:p>
            <w:pPr>
              <w:pStyle w:val="1176"/>
              <w:jc w:val="center"/>
              <w:rPr>
                <w:rFonts w:hAnsi="宋体" w:cs="宋体"/>
                <w:szCs w:val="21"/>
              </w:rPr>
            </w:pPr>
            <w:r>
              <w:rPr>
                <w:rFonts w:hAnsi="宋体" w:cs="宋体"/>
                <w:szCs w:val="21"/>
              </w:rPr>
              <w:t xml:space="preserve">10.2</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253" w:type="dxa"/>
            <w:vAlign w:val="center"/>
            <w:textDirection w:val="lrTb"/>
            <w:noWrap w:val="false"/>
          </w:tcPr>
          <w:p>
            <w:pPr>
              <w:pStyle w:val="1136"/>
              <w:jc w:val="left"/>
              <w:rPr>
                <w:rFonts w:ascii="宋体" w:hAnsi="宋体" w:cs="宋体"/>
                <w:szCs w:val="21"/>
              </w:rPr>
            </w:pPr>
            <w:r>
              <w:rPr>
                <w:rFonts w:hint="eastAsia" w:ascii="宋体" w:hAnsi="宋体" w:cs="宋体"/>
                <w:szCs w:val="21"/>
              </w:rPr>
              <w:t xml:space="preserve">报价的特殊规定：</w:t>
            </w:r>
            <w:r>
              <w:rPr>
                <w:rFonts w:ascii="宋体" w:hAnsi="宋体" w:cs="宋体"/>
                <w:szCs w:val="21"/>
              </w:rPr>
            </w:r>
            <w:r/>
          </w:p>
          <w:p>
            <w:pPr>
              <w:pStyle w:val="1136"/>
              <w:jc w:val="left"/>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无</w:t>
            </w:r>
            <w:r>
              <w:rPr>
                <w:rFonts w:ascii="宋体" w:hAnsi="宋体" w:cs="宋体"/>
                <w:szCs w:val="21"/>
              </w:rPr>
            </w:r>
            <w:r/>
          </w:p>
          <w:p>
            <w:pPr>
              <w:pStyle w:val="1136"/>
              <w:jc w:val="left"/>
              <w:rPr>
                <w:rFonts w:ascii="宋体" w:hAnsi="宋体" w:cs="宋体"/>
                <w:szCs w:val="21"/>
                <w:lang w:val="en-US"/>
              </w:rPr>
            </w:pPr>
            <w:r>
              <w:rPr>
                <w:rFonts w:hint="eastAsia" w:ascii="宋体" w:hAnsi="宋体" w:cs="宋体"/>
                <w:szCs w:val="21"/>
                <w:lang w:eastAsia="zh-CN"/>
              </w:rPr>
              <w:t xml:space="preserve">☑</w:t>
            </w:r>
            <w:r>
              <w:rPr>
                <w:rFonts w:hint="eastAsia" w:ascii="宋体" w:hAnsi="宋体" w:cs="宋体"/>
                <w:szCs w:val="21"/>
              </w:rPr>
              <w:t xml:space="preserve">有，具体情形：</w:t>
            </w:r>
            <w:r>
              <w:rPr>
                <w:rFonts w:hint="eastAsia" w:ascii="宋体" w:hAnsi="宋体" w:eastAsia="宋体" w:cs="宋体"/>
                <w:szCs w:val="21"/>
              </w:rPr>
              <w:t xml:space="preserve">本项目以优惠率进行报价，</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的报价优惠率不得低于 0%。</w:t>
            </w:r>
            <w:r>
              <w:rPr>
                <w:rFonts w:ascii="宋体" w:hAnsi="宋体" w:cs="宋体"/>
                <w:szCs w:val="21"/>
                <w:lang w:val="en-US"/>
              </w:rPr>
            </w:r>
            <w:r/>
          </w:p>
        </w:tc>
      </w:tr>
      <w:tr>
        <w:trPr>
          <w:trHeight w:val="655"/>
        </w:trPr>
        <w:tc>
          <w:tcPr>
            <w:tcW w:w="988" w:type="dxa"/>
            <w:vAlign w:val="center"/>
            <w:textDirection w:val="lrTb"/>
            <w:noWrap w:val="false"/>
          </w:tcPr>
          <w:p>
            <w:pPr>
              <w:pStyle w:val="1176"/>
              <w:jc w:val="center"/>
              <w:rPr>
                <w:rFonts w:hAnsi="宋体" w:cs="宋体"/>
                <w:szCs w:val="21"/>
              </w:rPr>
            </w:pPr>
            <w:r>
              <w:rPr>
                <w:rFonts w:hAnsi="宋体" w:cs="宋体"/>
                <w:szCs w:val="21"/>
              </w:rPr>
              <w:t xml:space="preserve">11.1</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磋商保证金</w:t>
            </w:r>
            <w:r>
              <w:rPr>
                <w:rFonts w:ascii="宋体" w:hAnsi="宋体" w:cs="宋体"/>
                <w:szCs w:val="21"/>
              </w:rPr>
            </w:r>
            <w:r/>
          </w:p>
        </w:tc>
        <w:tc>
          <w:tcPr>
            <w:tcW w:w="7253" w:type="dxa"/>
            <w:vAlign w:val="center"/>
            <w:textDirection w:val="lrTb"/>
            <w:noWrap w:val="false"/>
          </w:tcPr>
          <w:p>
            <w:pPr>
              <w:pStyle w:val="1136"/>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700"/>
        </w:trPr>
        <w:tc>
          <w:tcPr>
            <w:tcW w:w="988" w:type="dxa"/>
            <w:vAlign w:val="center"/>
            <w:textDirection w:val="lrTb"/>
            <w:noWrap w:val="false"/>
          </w:tcPr>
          <w:p>
            <w:pPr>
              <w:pStyle w:val="1176"/>
              <w:jc w:val="center"/>
              <w:rPr>
                <w:rFonts w:hAnsi="宋体" w:cs="宋体"/>
                <w:szCs w:val="21"/>
              </w:rPr>
            </w:pPr>
            <w:r>
              <w:rPr>
                <w:rFonts w:hAnsi="宋体" w:cs="宋体"/>
                <w:szCs w:val="21"/>
              </w:rPr>
              <w:t xml:space="preserve">12.1</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响应有效期</w:t>
            </w:r>
            <w:r>
              <w:rPr>
                <w:rFonts w:ascii="宋体" w:hAnsi="宋体" w:cs="宋体"/>
                <w:szCs w:val="21"/>
              </w:rPr>
            </w:r>
            <w:r/>
          </w:p>
        </w:tc>
        <w:tc>
          <w:tcPr>
            <w:tcW w:w="7253" w:type="dxa"/>
            <w:vAlign w:val="center"/>
            <w:textDirection w:val="lrTb"/>
            <w:noWrap w:val="false"/>
          </w:tcPr>
          <w:p>
            <w:pPr>
              <w:pStyle w:val="1136"/>
              <w:jc w:val="left"/>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988" w:type="dxa"/>
            <w:vAlign w:val="center"/>
            <w:textDirection w:val="lrTb"/>
            <w:noWrap w:val="false"/>
          </w:tcPr>
          <w:p>
            <w:pPr>
              <w:pStyle w:val="1176"/>
              <w:jc w:val="center"/>
              <w:rPr>
                <w:rFonts w:hAnsi="宋体" w:cs="宋体"/>
                <w:szCs w:val="21"/>
              </w:rPr>
            </w:pPr>
            <w:r>
              <w:rPr>
                <w:rFonts w:hAnsi="宋体" w:cs="宋体"/>
                <w:szCs w:val="21"/>
              </w:rPr>
              <w:t xml:space="preserve">23.5</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253" w:type="dxa"/>
            <w:vAlign w:val="center"/>
            <w:textDirection w:val="lrTb"/>
            <w:noWrap w:val="false"/>
          </w:tcPr>
          <w:p>
            <w:pPr>
              <w:pStyle w:val="1136"/>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136"/>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136"/>
              <w:jc w:val="left"/>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允许。</w:t>
            </w:r>
            <w:r>
              <w:rPr>
                <w:rFonts w:ascii="宋体" w:hAnsi="宋体" w:cs="宋体"/>
                <w:szCs w:val="21"/>
                <w:u w:val="single"/>
              </w:rPr>
            </w:r>
            <w:r/>
          </w:p>
        </w:tc>
      </w:tr>
      <w:tr>
        <w:trPr>
          <w:trHeight w:val="680"/>
        </w:trPr>
        <w:tc>
          <w:tcPr>
            <w:tcW w:w="988" w:type="dxa"/>
            <w:vAlign w:val="center"/>
            <w:textDirection w:val="lrTb"/>
            <w:noWrap w:val="false"/>
          </w:tcPr>
          <w:p>
            <w:pPr>
              <w:pStyle w:val="1176"/>
              <w:jc w:val="center"/>
              <w:rPr>
                <w:rFonts w:hAnsi="宋体" w:cs="宋体"/>
                <w:szCs w:val="21"/>
              </w:rPr>
            </w:pPr>
            <w:r>
              <w:rPr>
                <w:rFonts w:hAnsi="宋体" w:cs="宋体"/>
                <w:szCs w:val="21"/>
              </w:rPr>
              <w:t xml:space="preserve">24.1.1</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253" w:type="dxa"/>
            <w:vAlign w:val="center"/>
            <w:textDirection w:val="lrTb"/>
            <w:noWrap w:val="false"/>
          </w:tcPr>
          <w:p>
            <w:pPr>
              <w:pStyle w:val="1136"/>
              <w:jc w:val="left"/>
              <w:rPr>
                <w:rFonts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w:t>
            </w:r>
            <w:r>
              <w:rPr>
                <w:rFonts w:ascii="宋体" w:hAnsi="宋体" w:cs="宋体"/>
                <w:szCs w:val="21"/>
              </w:rPr>
            </w:r>
            <w:r/>
          </w:p>
        </w:tc>
      </w:tr>
      <w:tr>
        <w:trPr>
          <w:trHeight w:val="20"/>
        </w:trPr>
        <w:tc>
          <w:tcPr>
            <w:tcW w:w="988" w:type="dxa"/>
            <w:vAlign w:val="center"/>
            <w:textDirection w:val="lrTb"/>
            <w:noWrap w:val="false"/>
          </w:tcPr>
          <w:p>
            <w:pPr>
              <w:pStyle w:val="1176"/>
              <w:jc w:val="center"/>
              <w:rPr>
                <w:rFonts w:hAnsi="宋体" w:cs="宋体"/>
                <w:szCs w:val="21"/>
              </w:rPr>
            </w:pPr>
            <w:r>
              <w:rPr>
                <w:rFonts w:hAnsi="宋体" w:cs="宋体"/>
                <w:szCs w:val="21"/>
              </w:rPr>
              <w:t xml:space="preserve">24.3</w:t>
            </w:r>
            <w:r>
              <w:rPr>
                <w:rFonts w:hAnsi="宋体" w:cs="宋体"/>
                <w:szCs w:val="21"/>
              </w:rPr>
            </w:r>
            <w:r/>
          </w:p>
        </w:tc>
        <w:tc>
          <w:tcPr>
            <w:tcW w:w="1701" w:type="dxa"/>
            <w:vAlign w:val="center"/>
            <w:textDirection w:val="lrTb"/>
            <w:noWrap w:val="false"/>
          </w:tcPr>
          <w:p>
            <w:pPr>
              <w:pStyle w:val="1136"/>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253" w:type="dxa"/>
            <w:vAlign w:val="center"/>
            <w:textDirection w:val="lrTb"/>
            <w:noWrap w:val="false"/>
          </w:tcPr>
          <w:p>
            <w:pPr>
              <w:pStyle w:val="1136"/>
              <w:jc w:val="left"/>
              <w:rPr>
                <w:rFonts w:hint="eastAsia" w:ascii="宋体" w:hAnsi="宋体" w:eastAsia="宋体" w:cs="宋体"/>
                <w:szCs w:val="21"/>
              </w:rPr>
            </w:pPr>
            <w:r>
              <w:rPr>
                <w:rFonts w:hint="eastAsia" w:ascii="宋体" w:hAnsi="宋体" w:eastAsia="宋体" w:cs="宋体"/>
                <w:szCs w:val="21"/>
              </w:rPr>
              <w:t xml:space="preserve">接收询问和质疑的联系方式</w:t>
            </w:r>
            <w:r>
              <w:rPr>
                <w:rFonts w:hint="eastAsia" w:ascii="宋体" w:hAnsi="宋体" w:eastAsia="宋体" w:cs="宋体"/>
                <w:szCs w:val="21"/>
              </w:rPr>
            </w:r>
            <w:r/>
          </w:p>
          <w:p>
            <w:pPr>
              <w:pStyle w:val="1136"/>
              <w:jc w:val="left"/>
              <w:rPr>
                <w:rFonts w:hint="eastAsia" w:ascii="宋体" w:hAnsi="宋体" w:eastAsia="宋体" w:cs="宋体"/>
                <w:szCs w:val="21"/>
                <w:lang w:eastAsia="zh-CN"/>
              </w:rPr>
            </w:pPr>
            <w:r>
              <w:rPr>
                <w:rFonts w:hint="eastAsia" w:ascii="宋体" w:hAnsi="宋体" w:eastAsia="宋体" w:cs="宋体"/>
                <w:szCs w:val="21"/>
                <w:lang w:eastAsia="zh-CN"/>
              </w:rPr>
              <w:t xml:space="preserve">名 称：江苏省常州体育运动学校 </w:t>
            </w:r>
            <w:r>
              <w:rPr>
                <w:rFonts w:hint="eastAsia" w:ascii="宋体" w:hAnsi="宋体" w:eastAsia="宋体" w:cs="宋体"/>
                <w:szCs w:val="21"/>
                <w:lang w:eastAsia="zh-CN"/>
              </w:rPr>
            </w:r>
            <w:r/>
          </w:p>
          <w:p>
            <w:pPr>
              <w:pStyle w:val="1136"/>
              <w:jc w:val="left"/>
              <w:rPr>
                <w:rFonts w:hint="eastAsia" w:ascii="宋体" w:hAnsi="宋体" w:eastAsia="宋体" w:cs="宋体"/>
                <w:szCs w:val="21"/>
                <w:lang w:eastAsia="zh-CN"/>
              </w:rPr>
            </w:pPr>
            <w:r>
              <w:rPr>
                <w:rFonts w:hint="eastAsia" w:ascii="宋体" w:hAnsi="宋体" w:eastAsia="宋体" w:cs="宋体"/>
                <w:szCs w:val="21"/>
                <w:lang w:eastAsia="zh-CN"/>
              </w:rPr>
              <w:t xml:space="preserve">地 址：江苏省常州市新北区晋陵北路11号</w:t>
            </w:r>
            <w:r>
              <w:rPr>
                <w:rFonts w:hint="eastAsia" w:ascii="宋体" w:hAnsi="宋体" w:eastAsia="宋体" w:cs="宋体"/>
                <w:szCs w:val="21"/>
                <w:lang w:eastAsia="zh-CN"/>
              </w:rPr>
            </w:r>
            <w:r/>
          </w:p>
          <w:p>
            <w:pPr>
              <w:pStyle w:val="1136"/>
              <w:jc w:val="left"/>
              <w:rPr>
                <w:rFonts w:hint="eastAsia" w:ascii="宋体" w:hAnsi="宋体" w:eastAsia="宋体" w:cs="宋体"/>
                <w:szCs w:val="21"/>
                <w:lang w:val="en-US" w:eastAsia="zh-CN"/>
              </w:rPr>
            </w:pPr>
            <w:r>
              <w:rPr>
                <w:rFonts w:hint="eastAsia" w:ascii="宋体" w:hAnsi="宋体" w:eastAsia="宋体" w:cs="宋体"/>
                <w:szCs w:val="21"/>
                <w:lang w:eastAsia="zh-CN"/>
              </w:rPr>
              <w:t xml:space="preserve">联系人：</w:t>
            </w:r>
            <w:r>
              <w:rPr>
                <w:rFonts w:hint="eastAsia" w:ascii="宋体" w:hAnsi="宋体" w:eastAsia="宋体" w:cs="宋体"/>
                <w:szCs w:val="21"/>
                <w:lang w:val="en-US" w:eastAsia="zh-CN"/>
              </w:rPr>
              <w:t xml:space="preserve">孙先生</w:t>
            </w:r>
            <w:r>
              <w:rPr>
                <w:rFonts w:hint="eastAsia" w:ascii="宋体" w:hAnsi="宋体" w:eastAsia="宋体" w:cs="宋体"/>
                <w:szCs w:val="21"/>
                <w:lang w:val="en-US" w:eastAsia="zh-CN"/>
              </w:rPr>
            </w:r>
            <w:r/>
          </w:p>
          <w:p>
            <w:pPr>
              <w:pStyle w:val="1136"/>
              <w:jc w:val="left"/>
              <w:rPr>
                <w:rFonts w:ascii="宋体" w:hAnsi="宋体" w:eastAsia="宋体" w:cs="宋体"/>
                <w:szCs w:val="21"/>
                <w:lang w:val="en-US" w:eastAsia="zh-CN"/>
              </w:rPr>
            </w:pPr>
            <w:r>
              <w:rPr>
                <w:rFonts w:hint="eastAsia" w:ascii="宋体" w:hAnsi="宋体" w:eastAsia="宋体" w:cs="宋体"/>
                <w:szCs w:val="21"/>
                <w:lang w:eastAsia="zh-CN"/>
              </w:rPr>
              <w:t xml:space="preserve">电话： </w:t>
            </w:r>
            <w:r>
              <w:rPr>
                <w:rFonts w:hint="eastAsia" w:ascii="宋体" w:hAnsi="宋体" w:eastAsia="宋体" w:cs="宋体"/>
                <w:szCs w:val="21"/>
                <w:lang w:val="en-US" w:eastAsia="zh-CN"/>
              </w:rPr>
              <w:t xml:space="preserve">0519-85125897</w:t>
            </w:r>
            <w:r>
              <w:rPr>
                <w:rFonts w:ascii="宋体" w:hAnsi="宋体" w:eastAsia="宋体" w:cs="宋体"/>
                <w:szCs w:val="21"/>
                <w:lang w:val="en-US" w:eastAsia="zh-CN"/>
              </w:rPr>
            </w:r>
            <w:r/>
          </w:p>
          <w:p>
            <w:pPr>
              <w:pStyle w:val="1136"/>
              <w:jc w:val="left"/>
              <w:rPr>
                <w:rFonts w:hint="eastAsia" w:ascii="宋体" w:hAnsi="宋体" w:eastAsia="宋体" w:cs="宋体"/>
                <w:szCs w:val="21"/>
                <w:lang w:eastAsia="zh-CN"/>
              </w:rPr>
            </w:pPr>
            <w:r>
              <w:rPr>
                <w:rFonts w:hint="eastAsia" w:ascii="宋体" w:hAnsi="宋体" w:eastAsia="宋体" w:cs="宋体"/>
                <w:szCs w:val="21"/>
                <w:lang w:eastAsia="zh-CN"/>
              </w:rPr>
              <w:t xml:space="preserve">代理机构：常州正衡招投标有限公司</w:t>
            </w:r>
            <w:r>
              <w:rPr>
                <w:rFonts w:hint="eastAsia" w:ascii="宋体" w:hAnsi="宋体" w:eastAsia="宋体" w:cs="宋体"/>
                <w:szCs w:val="21"/>
                <w:lang w:eastAsia="zh-CN"/>
              </w:rPr>
            </w:r>
            <w:r/>
          </w:p>
          <w:p>
            <w:pPr>
              <w:pStyle w:val="1136"/>
              <w:jc w:val="left"/>
              <w:rPr>
                <w:rFonts w:ascii="宋体" w:hAnsi="宋体" w:cs="宋体"/>
                <w:szCs w:val="21"/>
              </w:rPr>
            </w:pPr>
            <w:r>
              <w:rPr>
                <w:rFonts w:hint="eastAsia" w:ascii="宋体" w:hAnsi="宋体" w:eastAsia="宋体" w:cs="宋体"/>
                <w:szCs w:val="21"/>
                <w:lang w:eastAsia="zh-CN"/>
              </w:rPr>
              <w:t xml:space="preserve">地</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址：常州市新北区府翰苑6</w:t>
            </w:r>
            <w:r>
              <w:rPr>
                <w:rFonts w:hint="eastAsia" w:ascii="宋体" w:hAnsi="宋体" w:cs="宋体"/>
                <w:szCs w:val="21"/>
              </w:rPr>
              <w:t xml:space="preserve">栋9楼</w:t>
            </w:r>
            <w:r>
              <w:rPr>
                <w:rFonts w:ascii="宋体" w:hAnsi="宋体" w:cs="宋体"/>
                <w:szCs w:val="21"/>
              </w:rPr>
            </w:r>
            <w:r/>
          </w:p>
          <w:p>
            <w:pPr>
              <w:pStyle w:val="1136"/>
              <w:jc w:val="left"/>
              <w:rPr>
                <w:rFonts w:ascii="宋体" w:hAnsi="宋体" w:cs="宋体"/>
                <w:szCs w:val="21"/>
              </w:rPr>
            </w:pPr>
            <w:r>
              <w:rPr>
                <w:rFonts w:hint="eastAsia" w:ascii="宋体" w:hAnsi="宋体" w:cs="宋体"/>
                <w:szCs w:val="21"/>
              </w:rPr>
              <w:t xml:space="preserve">电  话：0519-85510566</w:t>
            </w:r>
            <w:r>
              <w:rPr>
                <w:rFonts w:ascii="宋体" w:hAnsi="宋体" w:cs="宋体"/>
                <w:szCs w:val="21"/>
              </w:rPr>
            </w:r>
            <w:r/>
          </w:p>
        </w:tc>
      </w:tr>
      <w:tr>
        <w:trPr>
          <w:trHeight w:val="20"/>
        </w:trPr>
        <w:tc>
          <w:tcPr>
            <w:tcW w:w="988" w:type="dxa"/>
            <w:vAlign w:val="center"/>
            <w:textDirection w:val="lrTb"/>
            <w:noWrap w:val="false"/>
          </w:tcPr>
          <w:p>
            <w:pPr>
              <w:pStyle w:val="1176"/>
              <w:jc w:val="center"/>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25</w:t>
            </w:r>
            <w:r>
              <w:rPr>
                <w:rFonts w:ascii="宋体" w:hAnsi="宋体" w:eastAsia="宋体" w:cs="宋体"/>
                <w:sz w:val="21"/>
                <w:szCs w:val="21"/>
                <w:lang w:val="en-US" w:eastAsia="zh-CN" w:bidi="ar-SA"/>
              </w:rPr>
            </w:r>
            <w:r/>
          </w:p>
        </w:tc>
        <w:tc>
          <w:tcPr>
            <w:tcW w:w="1701" w:type="dxa"/>
            <w:vAlign w:val="center"/>
            <w:textDirection w:val="lrTb"/>
            <w:noWrap w:val="false"/>
          </w:tcPr>
          <w:p>
            <w:pPr>
              <w:pStyle w:val="113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代理费</w:t>
            </w:r>
            <w:r>
              <w:rPr>
                <w:rFonts w:hint="eastAsia" w:ascii="宋体" w:hAnsi="宋体" w:eastAsia="宋体" w:cs="宋体"/>
                <w:sz w:val="21"/>
                <w:szCs w:val="21"/>
                <w:lang w:val="en-US" w:eastAsia="zh-CN" w:bidi="ar-SA"/>
              </w:rPr>
            </w:r>
            <w:r/>
          </w:p>
        </w:tc>
        <w:tc>
          <w:tcPr>
            <w:tcW w:w="7253" w:type="dxa"/>
            <w:vAlign w:val="center"/>
            <w:textDirection w:val="lrTb"/>
            <w:noWrap w:val="false"/>
          </w:tcPr>
          <w:p>
            <w:pPr>
              <w:pStyle w:val="113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收费对象：成交供应商</w:t>
            </w:r>
            <w:r>
              <w:rPr>
                <w:rFonts w:hint="eastAsia" w:ascii="宋体" w:hAnsi="宋体" w:eastAsia="宋体" w:cs="宋体"/>
                <w:sz w:val="21"/>
                <w:szCs w:val="21"/>
                <w:lang w:val="en-US" w:eastAsia="zh-CN" w:bidi="ar-SA"/>
              </w:rPr>
            </w:r>
            <w:r/>
          </w:p>
          <w:p>
            <w:pPr>
              <w:pStyle w:val="113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收费标准：</w:t>
            </w:r>
            <w:r>
              <w:rPr>
                <w:rFonts w:hint="eastAsia" w:ascii="宋体" w:hAnsi="宋体" w:eastAsia="宋体" w:cs="宋体"/>
                <w:sz w:val="21"/>
                <w:szCs w:val="21"/>
                <w:lang w:val="en-US" w:eastAsia="zh-CN" w:bidi="ar-SA"/>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1136"/>
                    <w:ind w:firstLine="1365"/>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sz w:val="21"/>
                      <w:szCs w:val="21"/>
                      <w:lang w:val="en-US" w:eastAsia="zh-CN" w:bidi="ar-SA"/>
                    </w:rPr>
                    <w:t xml:space="preserve">项目类型</w:t>
                  </w:r>
                  <w:r>
                    <w:rPr>
                      <w:rFonts w:hint="eastAsia" w:ascii="宋体" w:hAnsi="宋体" w:eastAsia="宋体" w:cs="宋体"/>
                      <w:sz w:val="21"/>
                      <w:szCs w:val="21"/>
                      <w:lang w:val="en-US" w:eastAsia="zh-CN" w:bidi="ar-SA"/>
                    </w:rPr>
                  </w:r>
                  <w:r/>
                </w:p>
                <w:p>
                  <w:pPr>
                    <w:pStyle w:val="1136"/>
                    <w:ind w:firstLine="1365"/>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136"/>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eastAsia="宋体" w:cs="宋体"/>
                      <w:sz w:val="21"/>
                      <w:szCs w:val="21"/>
                      <w:lang w:val="en-US" w:eastAsia="zh-CN" w:bidi="ar-SA"/>
                    </w:rPr>
                    <w:t xml:space="preserve">费率</w:t>
                  </w:r>
                  <w:r>
                    <w:rPr>
                      <w:rFonts w:hint="eastAsia" w:ascii="宋体" w:hAnsi="宋体" w:eastAsia="宋体" w:cs="宋体"/>
                      <w:sz w:val="21"/>
                      <w:szCs w:val="21"/>
                      <w:lang w:val="en-US" w:eastAsia="zh-CN" w:bidi="ar-SA"/>
                    </w:rPr>
                  </w:r>
                  <w:r/>
                </w:p>
                <w:p>
                  <w:pPr>
                    <w:pStyle w:val="1136"/>
                    <w:ind w:firstLine="8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136"/>
                    <w:ind w:firstLine="8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136"/>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预算金额（万元）</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1136"/>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服务类</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113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100（含，下同）以下</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113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113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100-500</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113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0.8%</w:t>
                  </w:r>
                  <w:r>
                    <w:rPr>
                      <w:rFonts w:hint="eastAsia" w:ascii="宋体" w:hAnsi="宋体" w:eastAsia="宋体" w:cs="宋体"/>
                      <w:sz w:val="21"/>
                      <w:szCs w:val="21"/>
                      <w:lang w:val="en-US" w:eastAsia="zh-CN" w:bidi="ar-SA"/>
                    </w:rPr>
                  </w:r>
                  <w:r/>
                </w:p>
              </w:tc>
            </w:tr>
            <w:tr>
              <w:trPr/>
              <w:tc>
                <w:tcPr>
                  <w:tcW w:w="2744" w:type="dxa"/>
                  <w:vAlign w:val="center"/>
                  <w:textDirection w:val="lrTb"/>
                  <w:noWrap w:val="false"/>
                </w:tcPr>
                <w:p>
                  <w:pPr>
                    <w:pStyle w:val="113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500—1000</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113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0.45%</w:t>
                  </w:r>
                  <w:r>
                    <w:rPr>
                      <w:rFonts w:hint="eastAsia" w:ascii="宋体" w:hAnsi="宋体" w:eastAsia="宋体" w:cs="宋体"/>
                      <w:sz w:val="21"/>
                      <w:szCs w:val="21"/>
                      <w:lang w:val="en-US" w:eastAsia="zh-CN" w:bidi="ar-SA"/>
                    </w:rPr>
                  </w:r>
                  <w:r/>
                </w:p>
              </w:tc>
            </w:tr>
            <w:tr>
              <w:trPr/>
              <w:tc>
                <w:tcPr>
                  <w:tcW w:w="2744" w:type="dxa"/>
                  <w:vAlign w:val="center"/>
                  <w:textDirection w:val="lrTb"/>
                  <w:noWrap w:val="false"/>
                </w:tcPr>
                <w:p>
                  <w:pPr>
                    <w:pStyle w:val="113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1000-5000</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113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0.25%</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1136"/>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1136"/>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r>
          </w:tbl>
          <w:p>
            <w:pPr>
              <w:pStyle w:val="113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1、代理服务收费按差额定率累进法计算。  </w:t>
            </w:r>
            <w:r>
              <w:rPr>
                <w:rFonts w:hint="eastAsia" w:ascii="宋体" w:hAnsi="宋体" w:eastAsia="宋体" w:cs="宋体"/>
                <w:sz w:val="21"/>
                <w:szCs w:val="21"/>
                <w:lang w:val="en-US" w:eastAsia="zh-CN" w:bidi="ar-SA"/>
              </w:rPr>
            </w:r>
            <w:r/>
          </w:p>
          <w:p>
            <w:pPr>
              <w:pStyle w:val="113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2、服务收费按上述计算方法不足人民币3000元的，按人民币3000元收取。 </w:t>
            </w:r>
            <w:r>
              <w:rPr>
                <w:rFonts w:hint="eastAsia" w:ascii="宋体" w:hAnsi="宋体" w:eastAsia="宋体" w:cs="宋体"/>
                <w:sz w:val="21"/>
                <w:szCs w:val="21"/>
                <w:lang w:val="en-US" w:eastAsia="zh-CN" w:bidi="ar-SA"/>
              </w:rPr>
            </w:r>
            <w:r/>
          </w:p>
          <w:p>
            <w:pPr>
              <w:pStyle w:val="113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3、缴纳时间：领取成交通知书时缴纳。</w:t>
            </w:r>
            <w:r>
              <w:rPr>
                <w:rFonts w:hint="eastAsia" w:ascii="宋体" w:hAnsi="宋体" w:eastAsia="宋体" w:cs="宋体"/>
                <w:sz w:val="21"/>
                <w:szCs w:val="21"/>
                <w:lang w:val="en-US" w:eastAsia="zh-CN" w:bidi="ar-SA"/>
              </w:rPr>
            </w:r>
            <w:r/>
          </w:p>
          <w:p>
            <w:pPr>
              <w:pStyle w:val="113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4、缴纳方式：</w:t>
            </w:r>
            <w:r>
              <w:rPr>
                <w:rFonts w:hint="eastAsia" w:ascii="宋体" w:hAnsi="宋体" w:eastAsia="宋体" w:cs="宋体"/>
                <w:sz w:val="21"/>
                <w:szCs w:val="21"/>
                <w:lang w:val="en-US" w:eastAsia="zh-CN" w:bidi="ar-SA"/>
              </w:rPr>
            </w:r>
            <w:r/>
          </w:p>
          <w:p>
            <w:pPr>
              <w:pStyle w:val="113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收款人</w:t>
            </w:r>
            <w:r>
              <w:rPr>
                <w:rFonts w:hint="eastAsia" w:ascii="宋体" w:hAnsi="宋体" w:eastAsia="宋体" w:cs="宋体"/>
                <w:sz w:val="21"/>
                <w:szCs w:val="21"/>
                <w:lang w:val="en-US" w:eastAsia="zh-CN" w:bidi="ar-SA"/>
              </w:rPr>
              <w:t xml:space="preserve">名称：常州正衡招投标有限公司</w:t>
            </w:r>
            <w:r>
              <w:rPr>
                <w:rFonts w:hint="eastAsia" w:ascii="宋体" w:hAnsi="宋体" w:eastAsia="宋体" w:cs="宋体"/>
                <w:sz w:val="21"/>
                <w:szCs w:val="21"/>
                <w:lang w:val="en-US" w:eastAsia="zh-CN" w:bidi="ar-SA"/>
              </w:rPr>
            </w:r>
            <w:r/>
          </w:p>
          <w:p>
            <w:pPr>
              <w:pStyle w:val="113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开户行名称：招商银行常州北大街支行</w:t>
            </w:r>
            <w:r>
              <w:rPr>
                <w:rFonts w:hint="eastAsia" w:ascii="宋体" w:hAnsi="宋体" w:eastAsia="宋体" w:cs="宋体"/>
                <w:sz w:val="21"/>
                <w:szCs w:val="21"/>
                <w:lang w:val="en-US" w:eastAsia="zh-CN" w:bidi="ar-SA"/>
              </w:rPr>
            </w:r>
            <w:r/>
          </w:p>
          <w:p>
            <w:pPr>
              <w:pStyle w:val="1136"/>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银行账号：519902981310901</w:t>
            </w:r>
            <w:r>
              <w:rPr>
                <w:rFonts w:hint="eastAsia" w:ascii="宋体" w:hAnsi="宋体" w:eastAsia="宋体" w:cs="宋体"/>
                <w:sz w:val="21"/>
                <w:szCs w:val="21"/>
                <w:lang w:val="en-US" w:eastAsia="zh-CN" w:bidi="ar-SA"/>
              </w:rPr>
            </w:r>
            <w:r/>
          </w:p>
          <w:p>
            <w:pPr>
              <w:pStyle w:val="1136"/>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支付宝账号：3415909493@qq.com（备注单位名称及项目名称）</w:t>
            </w:r>
            <w:r>
              <w:rPr>
                <w:rFonts w:ascii="宋体" w:hAnsi="宋体" w:eastAsia="宋体" w:cs="宋体"/>
                <w:sz w:val="21"/>
                <w:szCs w:val="21"/>
                <w:lang w:val="en-US" w:eastAsia="zh-CN" w:bidi="ar-SA"/>
              </w:rPr>
            </w:r>
            <w:r/>
          </w:p>
        </w:tc>
      </w:tr>
    </w:tbl>
    <w:p>
      <w:pPr>
        <w:pStyle w:val="1136"/>
        <w:jc w:val="center"/>
        <w:spacing w:before="240" w:after="240"/>
        <w:rPr>
          <w:b/>
          <w:sz w:val="28"/>
          <w:szCs w:val="28"/>
        </w:rPr>
      </w:pPr>
      <w:r>
        <w:rPr>
          <w:b/>
          <w:sz w:val="28"/>
          <w:szCs w:val="28"/>
        </w:rPr>
        <w:br w:type="page" w:clear="all"/>
      </w:r>
      <w:r>
        <w:rPr>
          <w:b/>
          <w:sz w:val="28"/>
          <w:szCs w:val="28"/>
        </w:rPr>
        <w:t xml:space="preserve">供应商须知</w:t>
      </w:r>
      <w:r>
        <w:rPr>
          <w:b/>
          <w:sz w:val="28"/>
          <w:szCs w:val="28"/>
        </w:rPr>
      </w:r>
      <w:r/>
    </w:p>
    <w:p>
      <w:pPr>
        <w:pStyle w:val="1138"/>
        <w:jc w:val="left"/>
        <w:spacing w:before="0" w:line="360" w:lineRule="auto"/>
        <w:tabs>
          <w:tab w:val="center" w:pos="4592" w:leader="none"/>
          <w:tab w:val="left" w:pos="7860" w:leader="none"/>
        </w:tabs>
        <w:rPr>
          <w:rFonts w:ascii="Times New Roman" w:hAnsi="Times New Roman" w:eastAsia="宋体"/>
          <w:sz w:val="28"/>
        </w:rPr>
      </w:pPr>
      <w:r/>
      <w:bookmarkStart w:id="65" w:name="_Toc127151518"/>
      <w:r/>
      <w:bookmarkStart w:id="66" w:name="_Toc520356143"/>
      <w:r>
        <w:rPr>
          <w:rFonts w:ascii="Times New Roman" w:hAnsi="Times New Roman" w:eastAsia="宋体"/>
          <w:sz w:val="28"/>
        </w:rPr>
        <w:tab/>
      </w:r>
      <w:bookmarkStart w:id="67" w:name="_Toc151193906"/>
      <w:r/>
      <w:bookmarkStart w:id="68" w:name="_Toc226309762"/>
      <w:r/>
      <w:bookmarkStart w:id="69" w:name="_Toc151193832"/>
      <w:r/>
      <w:bookmarkStart w:id="70" w:name="_Toc142311020"/>
      <w:r/>
      <w:bookmarkStart w:id="71" w:name="_Toc226965791"/>
      <w:r/>
      <w:bookmarkStart w:id="72" w:name="_Toc305158786"/>
      <w:r/>
      <w:bookmarkStart w:id="73" w:name="_Toc305158860"/>
      <w:r/>
      <w:bookmarkStart w:id="74" w:name="_Toc226337214"/>
      <w:r/>
      <w:bookmarkStart w:id="75" w:name="_Toc150509269"/>
      <w:r/>
      <w:bookmarkStart w:id="76" w:name="_Toc151190145"/>
      <w:r/>
      <w:bookmarkStart w:id="77" w:name="_Toc151193616"/>
      <w:r/>
      <w:bookmarkStart w:id="78" w:name="_Toc151193760"/>
      <w:r/>
      <w:bookmarkStart w:id="79" w:name="_Toc150774723"/>
      <w:r/>
      <w:bookmarkStart w:id="80" w:name="_Toc150774618"/>
      <w:r/>
      <w:bookmarkStart w:id="81" w:name="_Toc265228356"/>
      <w:r/>
      <w:bookmarkStart w:id="82" w:name="_Toc264969208"/>
      <w:r/>
      <w:bookmarkStart w:id="83" w:name="_Toc195842883"/>
      <w:r/>
      <w:bookmarkStart w:id="84" w:name="_Toc150480756"/>
      <w:r/>
      <w:bookmarkStart w:id="85" w:name="_Toc226965708"/>
      <w:r/>
      <w:bookmarkStart w:id="86" w:name="_Toc151193688"/>
      <w:r>
        <w:rPr>
          <w:rFonts w:ascii="Times New Roman" w:hAnsi="Times New Roman" w:eastAsia="宋体"/>
          <w:sz w:val="28"/>
        </w:rPr>
        <w:t xml:space="preserve">一   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Times New Roman" w:hAnsi="Times New Roman" w:eastAsia="宋体"/>
          <w:sz w:val="28"/>
        </w:rPr>
        <w:tab/>
      </w:r>
      <w:r>
        <w:rPr>
          <w:rFonts w:ascii="Times New Roman" w:hAnsi="Times New Roman" w:eastAsia="宋体"/>
          <w:sz w:val="28"/>
        </w:rPr>
      </w:r>
      <w:r/>
    </w:p>
    <w:p>
      <w:pPr>
        <w:pStyle w:val="1136"/>
        <w:numPr>
          <w:ilvl w:val="0"/>
          <w:numId w:val="8"/>
        </w:numPr>
        <w:ind w:left="357" w:hanging="357"/>
        <w:spacing w:line="360" w:lineRule="auto"/>
        <w:tabs>
          <w:tab w:val="left" w:pos="360" w:leader="none"/>
        </w:tabs>
        <w:rPr>
          <w:sz w:val="24"/>
        </w:rPr>
        <w:outlineLvl w:val="1"/>
      </w:pPr>
      <w:r/>
      <w:bookmarkStart w:id="87" w:name="_Toc305158787"/>
      <w:r/>
      <w:bookmarkStart w:id="88" w:name="_Toc305158861"/>
      <w:r/>
      <w:bookmarkStart w:id="89" w:name="_Toc264969209"/>
      <w:r/>
      <w:bookmarkStart w:id="90" w:name="_Toc265228357"/>
      <w:r>
        <w:rPr>
          <w:sz w:val="24"/>
        </w:rPr>
        <w:t xml:space="preserve">采购人、采购代理机构、供应商</w:t>
      </w:r>
      <w:bookmarkEnd w:id="87"/>
      <w:r/>
      <w:bookmarkEnd w:id="88"/>
      <w:r/>
      <w:bookmarkEnd w:id="89"/>
      <w:r/>
      <w:bookmarkEnd w:id="90"/>
      <w:r>
        <w:rPr>
          <w:sz w:val="24"/>
        </w:rPr>
        <w:t xml:space="preserve">、联合体</w:t>
      </w:r>
      <w:r>
        <w:rPr>
          <w:sz w:val="24"/>
        </w:rPr>
      </w:r>
      <w:r/>
    </w:p>
    <w:p>
      <w:pPr>
        <w:pStyle w:val="113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13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13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136"/>
        <w:numPr>
          <w:ilvl w:val="0"/>
          <w:numId w:val="8"/>
        </w:numPr>
        <w:ind w:left="357" w:hanging="357"/>
        <w:spacing w:line="360" w:lineRule="auto"/>
        <w:tabs>
          <w:tab w:val="left" w:pos="360" w:leader="none"/>
        </w:tabs>
        <w:rPr>
          <w:sz w:val="24"/>
        </w:rPr>
        <w:outlineLvl w:val="1"/>
      </w:pPr>
      <w:r/>
      <w:bookmarkStart w:id="91" w:name="_Toc150774620"/>
      <w:r/>
      <w:bookmarkStart w:id="92" w:name="_Toc164229215"/>
      <w:r/>
      <w:bookmarkStart w:id="93" w:name="_Toc127151520"/>
      <w:r/>
      <w:bookmarkStart w:id="94" w:name="_Toc226965793"/>
      <w:r/>
      <w:bookmarkStart w:id="95" w:name="_Toc142311022"/>
      <w:r/>
      <w:bookmarkStart w:id="96" w:name="_Toc164608789"/>
      <w:r/>
      <w:bookmarkStart w:id="97" w:name="_Toc265228358"/>
      <w:r/>
      <w:bookmarkStart w:id="98" w:name="_Toc305158862"/>
      <w:r/>
      <w:bookmarkStart w:id="99" w:name="_Toc151193834"/>
      <w:r/>
      <w:bookmarkStart w:id="100" w:name="_Toc150774725"/>
      <w:r/>
      <w:bookmarkStart w:id="101" w:name="_Toc164351614"/>
      <w:r/>
      <w:bookmarkStart w:id="102" w:name="_Toc164229361"/>
      <w:r/>
      <w:bookmarkStart w:id="103" w:name="_Toc264969210"/>
      <w:r/>
      <w:bookmarkStart w:id="104" w:name="_Toc305158788"/>
      <w:r/>
      <w:bookmarkStart w:id="105" w:name="_Toc127151721"/>
      <w:r/>
      <w:bookmarkStart w:id="106" w:name="_Toc226337216"/>
      <w:r/>
      <w:bookmarkStart w:id="107" w:name="_Toc150480758"/>
      <w:r/>
      <w:bookmarkStart w:id="108" w:name="_Toc226309764"/>
      <w:r/>
      <w:bookmarkStart w:id="109" w:name="_Toc164608634"/>
      <w:r/>
      <w:bookmarkStart w:id="110" w:name="_Toc151190147"/>
      <w:r/>
      <w:bookmarkStart w:id="111" w:name="_Toc226965710"/>
      <w:r/>
      <w:bookmarkStart w:id="112" w:name="_Toc127161434"/>
      <w:r/>
      <w:bookmarkStart w:id="113" w:name="_Toc195842885"/>
      <w:r/>
      <w:bookmarkStart w:id="114" w:name="_Toc151193908"/>
      <w:r/>
      <w:bookmarkStart w:id="115" w:name="_Toc149720813"/>
      <w:r/>
      <w:bookmarkStart w:id="116" w:name="_Toc150509271"/>
      <w:r/>
      <w:bookmarkStart w:id="117" w:name="_Toc151193690"/>
      <w:r/>
      <w:bookmarkStart w:id="118" w:name="_Toc151193618"/>
      <w:r/>
      <w:bookmarkStart w:id="119" w:name="_Toc151193762"/>
      <w:r>
        <w:rPr>
          <w:sz w:val="24"/>
        </w:rPr>
        <w:t xml:space="preserve">资金来源</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sz w:val="24"/>
        </w:rPr>
        <w:t xml:space="preserve">、项目属性、科研仪器设备采购</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0" w:name="_Toc151193910"/>
      <w:r/>
      <w:bookmarkStart w:id="121" w:name="_Toc142311024"/>
      <w:r/>
      <w:bookmarkStart w:id="122" w:name="_Toc150774727"/>
      <w:r/>
      <w:bookmarkStart w:id="123" w:name="_Toc127151522"/>
      <w:r/>
      <w:bookmarkStart w:id="124" w:name="_Toc195842887"/>
      <w:r/>
      <w:bookmarkStart w:id="125" w:name="_Toc305158864"/>
      <w:r/>
      <w:bookmarkStart w:id="126" w:name="_Toc226965795"/>
      <w:r/>
      <w:bookmarkStart w:id="127" w:name="_Toc151193692"/>
      <w:r/>
      <w:bookmarkStart w:id="128" w:name="_Toc150509273"/>
      <w:r/>
      <w:bookmarkStart w:id="129" w:name="_Toc151193620"/>
      <w:r/>
      <w:bookmarkStart w:id="130" w:name="_Toc151190149"/>
      <w:r/>
      <w:bookmarkStart w:id="131" w:name="_Toc226309766"/>
      <w:r/>
      <w:bookmarkStart w:id="132" w:name="_Toc226337218"/>
      <w:r/>
      <w:bookmarkStart w:id="133" w:name="_Toc150480760"/>
      <w:r/>
      <w:bookmarkStart w:id="134" w:name="_Toc151193764"/>
      <w:r/>
      <w:bookmarkStart w:id="135" w:name="_Toc264969212"/>
      <w:r/>
      <w:bookmarkStart w:id="136" w:name="_Toc520356146"/>
      <w:r/>
      <w:bookmarkStart w:id="137" w:name="_Toc151193836"/>
      <w:r/>
      <w:bookmarkStart w:id="138" w:name="_Toc226965712"/>
      <w:r/>
      <w:bookmarkStart w:id="139" w:name="_Toc150774622"/>
      <w:r/>
      <w:bookmarkStart w:id="140" w:name="_Toc265228360"/>
      <w:r/>
      <w:bookmarkStart w:id="141" w:name="_Toc305158790"/>
      <w:r>
        <w:rPr>
          <w:sz w:val="28"/>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136"/>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136"/>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136"/>
        <w:numPr>
          <w:ilvl w:val="2"/>
          <w:numId w:val="8"/>
        </w:numPr>
        <w:spacing w:line="360" w:lineRule="auto"/>
        <w:tabs>
          <w:tab w:val="left" w:pos="1980" w:leader="none"/>
        </w:tabs>
        <w:rPr>
          <w:sz w:val="24"/>
        </w:rPr>
      </w:pPr>
      <w:r>
        <w:rPr>
          <w:sz w:val="24"/>
        </w:rPr>
        <w:t xml:space="preserve">中小企业定义：</w:t>
      </w:r>
      <w:r>
        <w:rPr>
          <w:sz w:val="24"/>
        </w:rPr>
      </w:r>
      <w:r/>
    </w:p>
    <w:p>
      <w:pPr>
        <w:pStyle w:val="123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5"/>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136"/>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36"/>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36"/>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136"/>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136"/>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235"/>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5"/>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36"/>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36"/>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136"/>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136"/>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136"/>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136"/>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136"/>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136"/>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136"/>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136"/>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136"/>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136"/>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政府采购创新产品政策</w:t>
      </w:r>
      <w:r>
        <w:rPr>
          <w:rFonts w:hint="eastAsia" w:ascii="宋体" w:hAnsi="宋体" w:cs="宋体"/>
          <w:sz w:val="24"/>
        </w:rPr>
      </w:r>
      <w:r/>
    </w:p>
    <w:p>
      <w:pPr>
        <w:pStyle w:val="1136"/>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136"/>
        <w:ind w:left="36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   绿色采购政策</w:t>
      </w:r>
      <w:r>
        <w:rPr>
          <w:rFonts w:hint="eastAsia" w:ascii="宋体" w:hAnsi="宋体" w:cs="宋体"/>
          <w:sz w:val="24"/>
        </w:rPr>
      </w:r>
      <w:r/>
    </w:p>
    <w:p>
      <w:pPr>
        <w:pStyle w:val="1136"/>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4.7.1  绿色数据中心政策 </w:t>
      </w:r>
      <w:r>
        <w:rPr>
          <w:rFonts w:hint="eastAsia" w:ascii="宋体" w:hAnsi="宋体" w:cs="宋体"/>
          <w:sz w:val="24"/>
        </w:rPr>
      </w:r>
      <w:r/>
    </w:p>
    <w:p>
      <w:pPr>
        <w:pStyle w:val="1136"/>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1136"/>
        <w:ind w:left="36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4.7.2 推广应用绿色建材</w:t>
      </w:r>
      <w:r>
        <w:rPr>
          <w:rFonts w:hint="eastAsia" w:ascii="宋体" w:hAnsi="宋体" w:cs="宋体"/>
          <w:sz w:val="24"/>
        </w:rPr>
      </w:r>
      <w:r/>
    </w:p>
    <w:p>
      <w:pPr>
        <w:pStyle w:val="1136"/>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 w:val="24"/>
        </w:rPr>
      </w:r>
      <w:r/>
    </w:p>
    <w:p>
      <w:pPr>
        <w:pStyle w:val="1136"/>
        <w:ind w:firstLine="120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4.7.3 优先使用低挥发性有机化合物产品</w:t>
      </w:r>
      <w:r>
        <w:rPr>
          <w:rFonts w:hint="eastAsia" w:ascii="宋体" w:hAnsi="宋体" w:cs="宋体"/>
          <w:sz w:val="24"/>
        </w:rPr>
      </w:r>
      <w:r/>
    </w:p>
    <w:p>
      <w:pPr>
        <w:pStyle w:val="1136"/>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 w:val="24"/>
        </w:rPr>
      </w:r>
      <w:r/>
    </w:p>
    <w:p>
      <w:pPr>
        <w:pStyle w:val="1136"/>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136"/>
        <w:ind w:left="1080"/>
        <w:spacing w:line="360" w:lineRule="auto"/>
        <w:tabs>
          <w:tab w:val="left" w:pos="1080" w:leader="none"/>
        </w:tabs>
        <w:rPr>
          <w:sz w:val="28"/>
        </w:rPr>
      </w:pPr>
      <w:r/>
      <w:bookmarkStart w:id="142" w:name="_1.8_计量单位"/>
      <w:r/>
      <w:bookmarkEnd w:id="142"/>
      <w:r>
        <w:rPr>
          <w:sz w:val="28"/>
        </w:rPr>
      </w:r>
      <w:r/>
    </w:p>
    <w:p>
      <w:pPr>
        <w:pStyle w:val="1138"/>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sz w:val="28"/>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143" w:name="_Toc127161437"/>
      <w:r/>
      <w:bookmarkStart w:id="144" w:name="_Toc151193621"/>
      <w:r/>
      <w:bookmarkStart w:id="145" w:name="_Toc264969213"/>
      <w:r/>
      <w:bookmarkStart w:id="146" w:name="_Toc151190150"/>
      <w:r/>
      <w:bookmarkStart w:id="147" w:name="_Toc226965713"/>
      <w:r/>
      <w:bookmarkStart w:id="148" w:name="_Toc164608637"/>
      <w:r/>
      <w:bookmarkStart w:id="149" w:name="_Toc164351617"/>
      <w:r/>
      <w:bookmarkStart w:id="150" w:name="_Toc142311025"/>
      <w:r/>
      <w:bookmarkStart w:id="151" w:name="_Toc164608792"/>
      <w:r/>
      <w:bookmarkStart w:id="152" w:name="_Toc149720816"/>
      <w:r/>
      <w:bookmarkStart w:id="153" w:name="_Toc265228361"/>
      <w:r/>
      <w:bookmarkStart w:id="154" w:name="_Toc226337219"/>
      <w:r/>
      <w:bookmarkStart w:id="155" w:name="_Toc127151523"/>
      <w:r/>
      <w:bookmarkStart w:id="156" w:name="_Toc520356147"/>
      <w:r/>
      <w:bookmarkStart w:id="157" w:name="_Toc305158865"/>
      <w:r/>
      <w:bookmarkStart w:id="158" w:name="_Toc164229364"/>
      <w:r/>
      <w:bookmarkStart w:id="159" w:name="_Toc151193765"/>
      <w:r/>
      <w:bookmarkStart w:id="160" w:name="_Toc305158791"/>
      <w:r/>
      <w:bookmarkStart w:id="161" w:name="_Toc195842888"/>
      <w:r/>
      <w:bookmarkStart w:id="162" w:name="_Toc226309767"/>
      <w:r/>
      <w:bookmarkStart w:id="163" w:name="_Toc127151724"/>
      <w:r/>
      <w:bookmarkStart w:id="164" w:name="_Toc226965796"/>
      <w:r/>
      <w:bookmarkStart w:id="165" w:name="_Toc150509274"/>
      <w:r/>
      <w:bookmarkStart w:id="166" w:name="_Toc151193837"/>
      <w:r/>
      <w:bookmarkStart w:id="167" w:name="_Toc150480761"/>
      <w:r/>
      <w:bookmarkStart w:id="168" w:name="_Toc150774623"/>
      <w:r/>
      <w:bookmarkStart w:id="169" w:name="_Toc150774728"/>
      <w:r/>
      <w:bookmarkStart w:id="170" w:name="_Toc151193911"/>
      <w:r/>
      <w:bookmarkStart w:id="171" w:name="_Toc151193693"/>
      <w:r/>
      <w:bookmarkStart w:id="172" w:name="_Toc164229218"/>
      <w:r>
        <w:rPr>
          <w:sz w:val="24"/>
        </w:rPr>
        <w:t xml:space="preserve">竞争性磋商文件构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sz w:val="24"/>
        </w:rPr>
        <w:t xml:space="preserve">成</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136"/>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rPr>
        <w:t xml:space="preserve">竞争性磋商公告</w:t>
      </w:r>
      <w:r>
        <w:rPr>
          <w:sz w:val="24"/>
        </w:rPr>
      </w:r>
      <w:r/>
    </w:p>
    <w:p>
      <w:pPr>
        <w:pStyle w:val="11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1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1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1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13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136"/>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13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13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136"/>
        <w:ind w:left="1080"/>
        <w:spacing w:line="360" w:lineRule="auto"/>
        <w:tabs>
          <w:tab w:val="left" w:pos="1080" w:leader="none"/>
          <w:tab w:val="left" w:pos="1561" w:leader="none"/>
        </w:tabs>
        <w:rPr>
          <w:sz w:val="28"/>
        </w:rPr>
      </w:pPr>
      <w:r/>
      <w:bookmarkStart w:id="173" w:name="_Toc265228364"/>
      <w:r/>
      <w:bookmarkStart w:id="174" w:name="_Toc226965799"/>
      <w:r/>
      <w:bookmarkStart w:id="175" w:name="_Toc150774731"/>
      <w:r/>
      <w:bookmarkStart w:id="176" w:name="_Toc151193696"/>
      <w:r/>
      <w:bookmarkStart w:id="177" w:name="_Toc151193768"/>
      <w:r/>
      <w:bookmarkStart w:id="178" w:name="_Toc151193840"/>
      <w:r/>
      <w:bookmarkStart w:id="179" w:name="_Toc305158868"/>
      <w:r/>
      <w:bookmarkStart w:id="180" w:name="_Toc151193914"/>
      <w:r/>
      <w:bookmarkStart w:id="181" w:name="_Toc150480764"/>
      <w:r/>
      <w:bookmarkStart w:id="182" w:name="_Toc305158794"/>
      <w:r/>
      <w:bookmarkStart w:id="183" w:name="_Toc142311028"/>
      <w:r/>
      <w:bookmarkStart w:id="184" w:name="_Toc151190153"/>
      <w:r/>
      <w:bookmarkStart w:id="185" w:name="_Toc226965716"/>
      <w:r/>
      <w:bookmarkStart w:id="186" w:name="_Toc264969216"/>
      <w:r/>
      <w:bookmarkStart w:id="187" w:name="_Toc150774626"/>
      <w:r/>
      <w:bookmarkStart w:id="188" w:name="_Toc226337222"/>
      <w:r/>
      <w:bookmarkStart w:id="189" w:name="_Toc195842891"/>
      <w:r/>
      <w:bookmarkStart w:id="190" w:name="_Toc151193624"/>
      <w:r/>
      <w:bookmarkStart w:id="191" w:name="_Toc150509277"/>
      <w:r/>
      <w:bookmarkStart w:id="192" w:name="_Toc127151526"/>
      <w:r/>
      <w:bookmarkStart w:id="193" w:name="_Toc520356150"/>
      <w:r/>
      <w:bookmarkStart w:id="194" w:name="_Toc226309770"/>
      <w:r/>
      <w:bookmarkStart w:id="195" w:name="_Toc516367020"/>
      <w:r>
        <w:rPr>
          <w:sz w:val="28"/>
        </w:rPr>
      </w:r>
      <w:r/>
    </w:p>
    <w:p>
      <w:pPr>
        <w:pStyle w:val="1138"/>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Times New Roman" w:hAnsi="Times New Roman" w:eastAsia="宋体"/>
          <w:sz w:val="28"/>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196" w:name="_Toc149720820"/>
      <w:r/>
      <w:bookmarkStart w:id="197" w:name="_Toc264969217"/>
      <w:r/>
      <w:bookmarkStart w:id="198" w:name="_Toc164229368"/>
      <w:r/>
      <w:bookmarkStart w:id="199" w:name="_Toc520356151"/>
      <w:r/>
      <w:bookmarkStart w:id="200" w:name="_Toc151193769"/>
      <w:r/>
      <w:bookmarkStart w:id="201" w:name="_Toc150509278"/>
      <w:r/>
      <w:bookmarkStart w:id="202" w:name="_Toc127161441"/>
      <w:r/>
      <w:bookmarkStart w:id="203" w:name="_Toc226337223"/>
      <w:r/>
      <w:bookmarkStart w:id="204" w:name="_Toc151193697"/>
      <w:r/>
      <w:bookmarkStart w:id="205" w:name="_Toc127151527"/>
      <w:r/>
      <w:bookmarkStart w:id="206" w:name="_Toc150480765"/>
      <w:r/>
      <w:bookmarkStart w:id="207" w:name="_Toc151193915"/>
      <w:r/>
      <w:bookmarkStart w:id="208" w:name="_Toc305158869"/>
      <w:r/>
      <w:bookmarkStart w:id="209" w:name="_Toc164229222"/>
      <w:r/>
      <w:bookmarkStart w:id="210" w:name="_Toc127151728"/>
      <w:r/>
      <w:bookmarkStart w:id="211" w:name="_Toc226965800"/>
      <w:r/>
      <w:bookmarkStart w:id="212" w:name="_Toc265228365"/>
      <w:r/>
      <w:bookmarkStart w:id="213" w:name="_Toc150774732"/>
      <w:r/>
      <w:bookmarkStart w:id="214" w:name="_Toc151193841"/>
      <w:r/>
      <w:bookmarkStart w:id="215" w:name="_Toc150774627"/>
      <w:r/>
      <w:bookmarkStart w:id="216" w:name="_Toc151190154"/>
      <w:r/>
      <w:bookmarkStart w:id="217" w:name="_Toc151193625"/>
      <w:r/>
      <w:bookmarkStart w:id="218" w:name="_Toc226965717"/>
      <w:r/>
      <w:bookmarkStart w:id="219" w:name="_Toc164351621"/>
      <w:r/>
      <w:bookmarkStart w:id="220" w:name="_Toc142311029"/>
      <w:r/>
      <w:bookmarkStart w:id="221" w:name="_Toc305158795"/>
      <w:r/>
      <w:bookmarkStart w:id="222" w:name="_Toc516367021"/>
      <w:r/>
      <w:bookmarkStart w:id="223" w:name="_Toc164608641"/>
      <w:r/>
      <w:bookmarkStart w:id="224" w:name="_Toc195842892"/>
      <w:r/>
      <w:bookmarkStart w:id="225" w:name="_Toc164608796"/>
      <w:r/>
      <w:bookmarkStart w:id="226" w:name="_Toc226309771"/>
      <w:r>
        <w:rPr>
          <w:sz w:val="24"/>
        </w:rPr>
        <w:t xml:space="preserve">响应范围、竞争性磋商文件中计量单位的使用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sz w:val="24"/>
        </w:rPr>
        <w:t xml:space="preserve">及磋商语言</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227" w:name="_Toc127161442"/>
      <w:r/>
      <w:bookmarkStart w:id="228" w:name="_Toc226965801"/>
      <w:r/>
      <w:bookmarkStart w:id="229" w:name="_Toc305158796"/>
      <w:r/>
      <w:bookmarkStart w:id="230" w:name="_Toc150774733"/>
      <w:r/>
      <w:bookmarkStart w:id="231" w:name="_Toc151193842"/>
      <w:r/>
      <w:bookmarkStart w:id="232" w:name="_Toc127151528"/>
      <w:r/>
      <w:bookmarkStart w:id="233" w:name="_Toc151193916"/>
      <w:r/>
      <w:bookmarkStart w:id="234" w:name="_Toc164608797"/>
      <w:r/>
      <w:bookmarkStart w:id="235" w:name="_Toc164229369"/>
      <w:r/>
      <w:bookmarkStart w:id="236" w:name="_Toc164229223"/>
      <w:r/>
      <w:bookmarkStart w:id="237" w:name="_Toc226965718"/>
      <w:r/>
      <w:bookmarkStart w:id="238" w:name="_Toc151193698"/>
      <w:r/>
      <w:bookmarkStart w:id="239" w:name="_Toc127151729"/>
      <w:r/>
      <w:bookmarkStart w:id="240" w:name="_Toc516367022"/>
      <w:r/>
      <w:bookmarkStart w:id="241" w:name="_Ref467306195"/>
      <w:r/>
      <w:bookmarkStart w:id="242" w:name="_Toc150509279"/>
      <w:r/>
      <w:bookmarkStart w:id="243" w:name="_Ref467306676"/>
      <w:r/>
      <w:bookmarkStart w:id="244" w:name="_Toc264969218"/>
      <w:r/>
      <w:bookmarkStart w:id="245" w:name="_Toc226337224"/>
      <w:r/>
      <w:bookmarkStart w:id="246" w:name="_Toc151193626"/>
      <w:r/>
      <w:bookmarkStart w:id="247" w:name="_Toc195842893"/>
      <w:r/>
      <w:bookmarkStart w:id="248" w:name="_Toc265228366"/>
      <w:r/>
      <w:bookmarkStart w:id="249" w:name="_Toc226309772"/>
      <w:r/>
      <w:bookmarkStart w:id="250" w:name="_Toc151193770"/>
      <w:r/>
      <w:bookmarkStart w:id="251" w:name="_Toc151190155"/>
      <w:r/>
      <w:bookmarkStart w:id="252" w:name="_Toc164351622"/>
      <w:r/>
      <w:bookmarkStart w:id="253" w:name="_Toc149720821"/>
      <w:r/>
      <w:bookmarkStart w:id="254" w:name="_Toc164608642"/>
      <w:r/>
      <w:bookmarkStart w:id="255" w:name="_Toc150480766"/>
      <w:r/>
      <w:bookmarkStart w:id="256" w:name="_Toc150774628"/>
      <w:r/>
      <w:bookmarkStart w:id="257" w:name="_Toc142311030"/>
      <w:r/>
      <w:bookmarkStart w:id="258" w:name="_Toc305158870"/>
      <w:r/>
      <w:bookmarkStart w:id="259" w:name="_Toc520356152"/>
      <w:r>
        <w:rPr>
          <w:sz w:val="24"/>
        </w:rPr>
        <w:t xml:space="preserve">响应文件</w:t>
      </w:r>
      <w:bookmarkEnd w:id="240"/>
      <w:r/>
      <w:bookmarkEnd w:id="241"/>
      <w:r/>
      <w:bookmarkEnd w:id="243"/>
      <w:r>
        <w:rPr>
          <w:sz w:val="24"/>
        </w:rPr>
        <w:t xml:space="preserve">构成</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bookmarkStart w:id="260"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0"/>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261" w:name="_Toc127151731"/>
      <w:r/>
      <w:bookmarkStart w:id="262" w:name="_Toc150774735"/>
      <w:r/>
      <w:bookmarkStart w:id="263" w:name="_Toc151193628"/>
      <w:r/>
      <w:bookmarkStart w:id="264" w:name="_Toc150480768"/>
      <w:r/>
      <w:bookmarkStart w:id="265" w:name="_Toc164608799"/>
      <w:r/>
      <w:bookmarkStart w:id="266" w:name="_Toc164229225"/>
      <w:r/>
      <w:bookmarkStart w:id="267" w:name="_Toc150509281"/>
      <w:r/>
      <w:bookmarkStart w:id="268" w:name="_Toc520356155"/>
      <w:r/>
      <w:bookmarkStart w:id="269" w:name="_Toc164608644"/>
      <w:r/>
      <w:bookmarkStart w:id="270" w:name="_Toc127161444"/>
      <w:r/>
      <w:bookmarkStart w:id="271" w:name="_Toc151193700"/>
      <w:r/>
      <w:bookmarkStart w:id="272" w:name="_Toc195842895"/>
      <w:r/>
      <w:bookmarkStart w:id="273" w:name="_Toc149720823"/>
      <w:r/>
      <w:bookmarkStart w:id="274" w:name="_Toc164229371"/>
      <w:r/>
      <w:bookmarkStart w:id="275" w:name="_Toc151193772"/>
      <w:r/>
      <w:bookmarkStart w:id="276" w:name="_Toc151190157"/>
      <w:r/>
      <w:bookmarkStart w:id="277" w:name="_Toc164351624"/>
      <w:r/>
      <w:bookmarkStart w:id="278" w:name="_Toc151193918"/>
      <w:r/>
      <w:bookmarkStart w:id="279" w:name="_Toc150774630"/>
      <w:r/>
      <w:bookmarkStart w:id="280" w:name="_Toc127151530"/>
      <w:r/>
      <w:bookmarkStart w:id="281" w:name="_Toc142311032"/>
      <w:r/>
      <w:bookmarkStart w:id="282" w:name="_Toc151193844"/>
      <w:r>
        <w:rPr>
          <w:sz w:val="24"/>
        </w:rPr>
        <w:t xml:space="preserve">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136"/>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36"/>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136"/>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评审过程中出现下列情形之一的，</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应当动异常低价响应审查程序： </w:t>
      </w:r>
      <w:r>
        <w:rPr>
          <w:rFonts w:ascii="Times New Roman" w:hAnsi="Times New Roman" w:eastAsia="宋体" w:cs="Times New Roman"/>
          <w:sz w:val="24"/>
        </w:rPr>
      </w:r>
      <w:r/>
    </w:p>
    <w:p>
      <w:pPr>
        <w:pStyle w:val="1136"/>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10.5.1</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响应报价低于采购项目预算50%的，即响应报价&lt;采购项目预算×50%； </w:t>
      </w:r>
      <w:r>
        <w:rPr>
          <w:rFonts w:ascii="Times New Roman" w:hAnsi="Times New Roman" w:eastAsia="宋体" w:cs="Times New Roman"/>
          <w:sz w:val="24"/>
        </w:rPr>
      </w:r>
      <w:r/>
    </w:p>
    <w:p>
      <w:pPr>
        <w:pStyle w:val="1136"/>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10.5.2</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响应报价低于采购项目最高限价45%的，即响应报价&lt;采购项目最高限价×45%； </w:t>
      </w:r>
      <w:r>
        <w:rPr>
          <w:rFonts w:ascii="Times New Roman" w:hAnsi="Times New Roman" w:eastAsia="宋体" w:cs="Times New Roman"/>
          <w:sz w:val="24"/>
        </w:rPr>
      </w:r>
      <w:r/>
    </w:p>
    <w:p>
      <w:pPr>
        <w:pStyle w:val="1136"/>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10.5.3</w:t>
      </w: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认定的供应商报价过低、有可能影响产品质量或者不能诚信履约的其他情形。 </w:t>
      </w:r>
      <w:r>
        <w:rPr>
          <w:rFonts w:ascii="Times New Roman" w:hAnsi="Times New Roman" w:eastAsia="宋体" w:cs="Times New Roman"/>
          <w:sz w:val="24"/>
        </w:rPr>
      </w:r>
      <w:r/>
    </w:p>
    <w:p>
      <w:pPr>
        <w:pStyle w:val="1136"/>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启动异常低价响应审查后</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应当要求相关供应商在</w:t>
      </w:r>
      <w:r>
        <w:rPr>
          <w:rFonts w:hint="eastAsia" w:ascii="Times New Roman" w:hAnsi="Times New Roman" w:eastAsia="宋体" w:cs="Times New Roman"/>
          <w:sz w:val="24"/>
        </w:rPr>
        <w:t xml:space="preserve">磋商小组规定</w:t>
      </w:r>
      <w:r>
        <w:rPr>
          <w:rFonts w:ascii="Times New Roman" w:hAnsi="Times New Roman" w:eastAsia="宋体" w:cs="Times New Roman"/>
          <w:sz w:val="24"/>
        </w:rPr>
        <w:t xml:space="preserve">的时间内，提供项目具体成本测算等与报价合理性相关的书面说明及相关证明材料，对响应价格作出解释，由</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结合同类产品在主要电商平台的价格、该行业当地薪资水平等情况，依据专业经验对供应商报价合理性进行判断。响应供应商不提供书面说明、证明 材料，或者提供的书面说明、证明材料不能证明其报价合理性的，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应当将其作为无效响应处理。审查相关情况应当在评审报告中进行记录。</w:t>
      </w:r>
      <w:r>
        <w:rPr>
          <w:rFonts w:ascii="Times New Roman" w:hAnsi="Times New Roman" w:eastAsia="宋体" w:cs="Times New Roman"/>
          <w:sz w:val="24"/>
        </w:rPr>
      </w:r>
      <w:r/>
    </w:p>
    <w:p>
      <w:pPr>
        <w:pStyle w:val="1136"/>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136"/>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283" w:name="_Toc151193921"/>
      <w:r/>
      <w:bookmarkStart w:id="284" w:name="_Toc150774738"/>
      <w:r/>
      <w:bookmarkStart w:id="285" w:name="_Toc520356158"/>
      <w:r/>
      <w:bookmarkStart w:id="286" w:name="_Toc305158801"/>
      <w:r/>
      <w:bookmarkStart w:id="287" w:name="_Toc150509284"/>
      <w:r/>
      <w:bookmarkStart w:id="288" w:name="_Toc151193631"/>
      <w:r/>
      <w:bookmarkStart w:id="289" w:name="_Toc150480771"/>
      <w:r/>
      <w:bookmarkStart w:id="290" w:name="_Toc151193847"/>
      <w:r/>
      <w:bookmarkStart w:id="291" w:name="_Toc305158875"/>
      <w:r/>
      <w:bookmarkStart w:id="292" w:name="_Toc151190160"/>
      <w:r/>
      <w:bookmarkStart w:id="293" w:name="_Toc264969223"/>
      <w:r/>
      <w:bookmarkStart w:id="294" w:name="_Toc195842898"/>
      <w:r/>
      <w:bookmarkStart w:id="295" w:name="_Toc265228371"/>
      <w:r/>
      <w:bookmarkStart w:id="296" w:name="_Toc127151533"/>
      <w:r/>
      <w:bookmarkStart w:id="297" w:name="_Toc164229228"/>
      <w:r/>
      <w:bookmarkStart w:id="298" w:name="_Toc164608802"/>
      <w:r/>
      <w:bookmarkStart w:id="299" w:name="_Toc164608647"/>
      <w:r/>
      <w:bookmarkStart w:id="300" w:name="_Toc226337229"/>
      <w:r/>
      <w:bookmarkStart w:id="301" w:name="_Toc149720826"/>
      <w:r/>
      <w:bookmarkStart w:id="302" w:name="_Toc226309777"/>
      <w:r/>
      <w:bookmarkStart w:id="303" w:name="_Toc150774633"/>
      <w:r/>
      <w:bookmarkStart w:id="304" w:name="_Toc142311035"/>
      <w:r/>
      <w:bookmarkStart w:id="305" w:name="_Toc226965806"/>
      <w:r/>
      <w:bookmarkStart w:id="306" w:name="_Toc151193703"/>
      <w:r/>
      <w:bookmarkStart w:id="307" w:name="_Toc164351627"/>
      <w:r/>
      <w:bookmarkStart w:id="308" w:name="_Toc164229374"/>
      <w:r/>
      <w:bookmarkStart w:id="309" w:name="_Toc151193775"/>
      <w:r/>
      <w:bookmarkStart w:id="310" w:name="_Toc127161447"/>
      <w:r/>
      <w:bookmarkStart w:id="311" w:name="_Toc127151734"/>
      <w:r/>
      <w:bookmarkStart w:id="312" w:name="_Toc226965723"/>
      <w:r>
        <w:rPr>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t xml:space="preserve">、盖章</w:t>
      </w:r>
      <w:r>
        <w:rPr>
          <w:sz w:val="24"/>
        </w:rPr>
      </w:r>
      <w:r/>
    </w:p>
    <w:p>
      <w:pPr>
        <w:pStyle w:val="1136"/>
        <w:numPr>
          <w:ilvl w:val="1"/>
          <w:numId w:val="8"/>
        </w:numPr>
        <w:spacing w:line="360" w:lineRule="auto"/>
        <w:tabs>
          <w:tab w:val="left" w:pos="1080" w:leader="none"/>
          <w:tab w:val="left" w:pos="1589" w:leader="none"/>
        </w:tabs>
        <w:rPr>
          <w:sz w:val="24"/>
        </w:rPr>
      </w:pPr>
      <w:r/>
      <w:bookmarkStart w:id="313" w:name="_Toc226337230"/>
      <w:r/>
      <w:bookmarkStart w:id="314" w:name="_Toc305158876"/>
      <w:r/>
      <w:bookmarkStart w:id="315" w:name="_Toc151190161"/>
      <w:r/>
      <w:bookmarkStart w:id="316" w:name="_Toc520356159"/>
      <w:r/>
      <w:bookmarkStart w:id="317" w:name="_Toc195842899"/>
      <w:r/>
      <w:bookmarkStart w:id="318" w:name="_Toc151193776"/>
      <w:r/>
      <w:bookmarkStart w:id="319" w:name="_Toc150480772"/>
      <w:r/>
      <w:bookmarkStart w:id="320" w:name="_Toc226965807"/>
      <w:r/>
      <w:bookmarkStart w:id="321" w:name="_Toc226309778"/>
      <w:r/>
      <w:bookmarkStart w:id="322" w:name="_Toc127151534"/>
      <w:r/>
      <w:bookmarkStart w:id="323" w:name="_Toc151193704"/>
      <w:r/>
      <w:bookmarkStart w:id="324" w:name="_Toc151193922"/>
      <w:r/>
      <w:bookmarkStart w:id="325" w:name="_Toc150509285"/>
      <w:r/>
      <w:bookmarkStart w:id="326" w:name="_Toc150774739"/>
      <w:r/>
      <w:bookmarkStart w:id="327" w:name="_Toc150774634"/>
      <w:r/>
      <w:bookmarkStart w:id="328" w:name="_Toc142311036"/>
      <w:r/>
      <w:bookmarkStart w:id="329" w:name="_Toc151193632"/>
      <w:r/>
      <w:bookmarkStart w:id="330" w:name="_Toc265228372"/>
      <w:r/>
      <w:bookmarkStart w:id="331" w:name="_Toc226965724"/>
      <w:r/>
      <w:bookmarkStart w:id="332" w:name="_Toc305158802"/>
      <w:r/>
      <w:bookmarkStart w:id="333" w:name="_Toc151193848"/>
      <w:r/>
      <w:bookmarkStart w:id="334" w:name="_Toc26496922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136"/>
        <w:ind w:left="357"/>
        <w:spacing w:line="360" w:lineRule="auto"/>
        <w:tabs>
          <w:tab w:val="left" w:pos="900" w:leader="none"/>
          <w:tab w:val="left" w:pos="1080" w:leader="none"/>
        </w:tabs>
      </w:pPr>
      <w:r/>
      <w:r/>
    </w:p>
    <w:p>
      <w:pPr>
        <w:pStyle w:val="1138"/>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sz w:val="28"/>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335" w:name="_Toc127151736"/>
      <w:r/>
      <w:bookmarkStart w:id="336" w:name="_Toc164229376"/>
      <w:r/>
      <w:bookmarkStart w:id="337" w:name="_Toc149720828"/>
      <w:r/>
      <w:bookmarkStart w:id="338" w:name="_Toc226965808"/>
      <w:r/>
      <w:bookmarkStart w:id="339" w:name="_Toc164229230"/>
      <w:r/>
      <w:bookmarkStart w:id="340" w:name="_Toc226309779"/>
      <w:r/>
      <w:bookmarkStart w:id="341" w:name="_Toc151193633"/>
      <w:r/>
      <w:bookmarkStart w:id="342" w:name="_Toc520356160"/>
      <w:r/>
      <w:bookmarkStart w:id="343" w:name="_Toc151193849"/>
      <w:r/>
      <w:bookmarkStart w:id="344" w:name="_Toc150774635"/>
      <w:r/>
      <w:bookmarkStart w:id="345" w:name="_Toc195842900"/>
      <w:r/>
      <w:bookmarkStart w:id="346" w:name="_Toc151193777"/>
      <w:r/>
      <w:bookmarkStart w:id="347" w:name="_Toc264969225"/>
      <w:r/>
      <w:bookmarkStart w:id="348" w:name="_Toc305158877"/>
      <w:r/>
      <w:bookmarkStart w:id="349" w:name="_Toc150774740"/>
      <w:r/>
      <w:bookmarkStart w:id="350" w:name="_Toc164608649"/>
      <w:r/>
      <w:bookmarkStart w:id="351" w:name="_Toc151190162"/>
      <w:r/>
      <w:bookmarkStart w:id="352" w:name="_Toc150509286"/>
      <w:r/>
      <w:bookmarkStart w:id="353" w:name="_Toc226965725"/>
      <w:r/>
      <w:bookmarkStart w:id="354" w:name="_Toc142311037"/>
      <w:r/>
      <w:bookmarkStart w:id="355" w:name="_Toc226337231"/>
      <w:r/>
      <w:bookmarkStart w:id="356" w:name="_Toc305158803"/>
      <w:r/>
      <w:bookmarkStart w:id="357" w:name="_Toc151193705"/>
      <w:r/>
      <w:bookmarkStart w:id="358" w:name="_Toc164608804"/>
      <w:r/>
      <w:bookmarkStart w:id="359" w:name="_Toc127161449"/>
      <w:r/>
      <w:bookmarkStart w:id="360" w:name="_Toc265228373"/>
      <w:r/>
      <w:bookmarkStart w:id="361" w:name="_Toc127151535"/>
      <w:r/>
      <w:bookmarkStart w:id="362" w:name="_Toc150480773"/>
      <w:r/>
      <w:bookmarkStart w:id="363" w:name="_Toc164351629"/>
      <w:r/>
      <w:bookmarkStart w:id="364" w:name="_Toc151193923"/>
      <w:r>
        <w:rPr>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t xml:space="preserve">提交</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365" w:name="_Toc150480774"/>
      <w:r/>
      <w:bookmarkStart w:id="366" w:name="_Toc127161450"/>
      <w:r/>
      <w:bookmarkStart w:id="367" w:name="_Toc164229377"/>
      <w:r/>
      <w:bookmarkStart w:id="368" w:name="_Toc151193634"/>
      <w:r/>
      <w:bookmarkStart w:id="369" w:name="_Toc142311038"/>
      <w:r/>
      <w:bookmarkStart w:id="370" w:name="_Toc151190163"/>
      <w:r/>
      <w:bookmarkStart w:id="371" w:name="_Toc195842901"/>
      <w:r/>
      <w:bookmarkStart w:id="372" w:name="_Toc150509287"/>
      <w:r/>
      <w:bookmarkStart w:id="373" w:name="_Toc151193706"/>
      <w:r/>
      <w:bookmarkStart w:id="374" w:name="_Toc150774741"/>
      <w:r/>
      <w:bookmarkStart w:id="375" w:name="_Toc127151737"/>
      <w:r/>
      <w:bookmarkStart w:id="376" w:name="_Toc305158878"/>
      <w:r/>
      <w:bookmarkStart w:id="377" w:name="_Toc226309780"/>
      <w:r/>
      <w:bookmarkStart w:id="378" w:name="_Toc226337232"/>
      <w:r/>
      <w:bookmarkStart w:id="379" w:name="_Toc264969226"/>
      <w:r/>
      <w:bookmarkStart w:id="380" w:name="_Toc305158804"/>
      <w:r/>
      <w:bookmarkStart w:id="381" w:name="_Toc164351630"/>
      <w:r/>
      <w:bookmarkStart w:id="382" w:name="_Toc151193778"/>
      <w:r/>
      <w:bookmarkStart w:id="383" w:name="_Toc127151536"/>
      <w:r/>
      <w:bookmarkStart w:id="384" w:name="_Toc520356161"/>
      <w:r/>
      <w:bookmarkStart w:id="385" w:name="_Toc265228374"/>
      <w:r/>
      <w:bookmarkStart w:id="386" w:name="_Toc164608650"/>
      <w:r/>
      <w:bookmarkStart w:id="387" w:name="_Toc164608805"/>
      <w:r/>
      <w:bookmarkStart w:id="388" w:name="_Toc226965809"/>
      <w:r/>
      <w:bookmarkStart w:id="389" w:name="_Toc150774636"/>
      <w:r/>
      <w:bookmarkStart w:id="390" w:name="_Toc226965726"/>
      <w:r/>
      <w:bookmarkStart w:id="391" w:name="_Toc149720829"/>
      <w:r/>
      <w:bookmarkStart w:id="392" w:name="_Toc151193850"/>
      <w:r/>
      <w:bookmarkStart w:id="393" w:name="_Toc164229231"/>
      <w:r/>
      <w:bookmarkStart w:id="394" w:name="_Toc151193924"/>
      <w:r>
        <w:rPr>
          <w:sz w:val="24"/>
        </w:rPr>
        <w:t xml:space="preserve">响应文件截止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时间</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395" w:name="_Toc149720830"/>
      <w:r/>
      <w:bookmarkStart w:id="396" w:name="_Toc151193635"/>
      <w:r/>
      <w:bookmarkStart w:id="397" w:name="_Toc226965727"/>
      <w:r/>
      <w:bookmarkStart w:id="398" w:name="_Toc151193779"/>
      <w:r/>
      <w:bookmarkStart w:id="399" w:name="_Toc164229378"/>
      <w:r/>
      <w:bookmarkStart w:id="400" w:name="_Toc151190164"/>
      <w:r/>
      <w:bookmarkStart w:id="401" w:name="_Toc226965810"/>
      <w:r/>
      <w:bookmarkStart w:id="402" w:name="_Toc164608806"/>
      <w:r/>
      <w:bookmarkStart w:id="403" w:name="_Toc305158805"/>
      <w:r/>
      <w:bookmarkStart w:id="404" w:name="_Toc305158879"/>
      <w:r/>
      <w:bookmarkStart w:id="405" w:name="_Toc226337233"/>
      <w:r/>
      <w:bookmarkStart w:id="406" w:name="_Toc164608651"/>
      <w:r/>
      <w:bookmarkStart w:id="407" w:name="_Toc127161451"/>
      <w:r/>
      <w:bookmarkStart w:id="408" w:name="_Toc150774637"/>
      <w:r/>
      <w:bookmarkStart w:id="409" w:name="_Toc150774742"/>
      <w:r/>
      <w:bookmarkStart w:id="410" w:name="_Toc520356162"/>
      <w:r/>
      <w:bookmarkStart w:id="411" w:name="_Toc265228375"/>
      <w:r/>
      <w:bookmarkStart w:id="412" w:name="_Toc195842902"/>
      <w:r/>
      <w:bookmarkStart w:id="413" w:name="_Toc164229232"/>
      <w:r/>
      <w:bookmarkStart w:id="414" w:name="_Toc150509288"/>
      <w:r/>
      <w:bookmarkStart w:id="415" w:name="_Toc127151537"/>
      <w:r/>
      <w:bookmarkStart w:id="416" w:name="_Toc151193707"/>
      <w:r/>
      <w:bookmarkStart w:id="417" w:name="_Toc226309781"/>
      <w:r/>
      <w:bookmarkStart w:id="418" w:name="_Toc164351631"/>
      <w:r/>
      <w:bookmarkStart w:id="419" w:name="_Toc151193851"/>
      <w:r/>
      <w:bookmarkStart w:id="420" w:name="_Toc151193925"/>
      <w:r/>
      <w:bookmarkStart w:id="421" w:name="_Toc142311039"/>
      <w:r/>
      <w:bookmarkStart w:id="422" w:name="_Toc127151738"/>
      <w:r/>
      <w:bookmarkStart w:id="423" w:name="_Toc264969227"/>
      <w:r/>
      <w:bookmarkStart w:id="424" w:name="_Toc150480775"/>
      <w:r>
        <w:rPr>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136"/>
        <w:ind w:left="357"/>
        <w:spacing w:line="360" w:lineRule="auto"/>
        <w:tabs>
          <w:tab w:val="left" w:pos="900" w:leader="none"/>
          <w:tab w:val="left" w:pos="1080" w:leader="none"/>
          <w:tab w:val="left" w:pos="1589" w:leader="none"/>
        </w:tabs>
        <w:rPr>
          <w:sz w:val="24"/>
        </w:rPr>
      </w:pPr>
      <w:r>
        <w:rPr>
          <w:sz w:val="24"/>
        </w:rPr>
      </w:r>
      <w:r/>
    </w:p>
    <w:p>
      <w:pPr>
        <w:pStyle w:val="1138"/>
        <w:spacing w:before="0" w:line="360" w:lineRule="auto"/>
        <w:rPr>
          <w:rFonts w:ascii="Times New Roman" w:hAnsi="Times New Roman" w:eastAsia="宋体"/>
          <w:sz w:val="28"/>
        </w:rPr>
      </w:pPr>
      <w:r/>
      <w:bookmarkStart w:id="425" w:name="_Toc305158806"/>
      <w:r/>
      <w:bookmarkStart w:id="426" w:name="_Toc305158880"/>
      <w:r/>
      <w:bookmarkStart w:id="427" w:name="_Toc150774743"/>
      <w:r/>
      <w:bookmarkStart w:id="428" w:name="_Toc150480776"/>
      <w:r/>
      <w:bookmarkStart w:id="429" w:name="_Toc151193926"/>
      <w:r/>
      <w:bookmarkStart w:id="430" w:name="_Toc151193852"/>
      <w:r/>
      <w:bookmarkStart w:id="431" w:name="_Toc151193780"/>
      <w:r/>
      <w:bookmarkStart w:id="432" w:name="_Toc264969228"/>
      <w:r/>
      <w:bookmarkStart w:id="433" w:name="_Toc151193708"/>
      <w:r/>
      <w:bookmarkStart w:id="434" w:name="_Toc226965811"/>
      <w:r/>
      <w:bookmarkStart w:id="435" w:name="_Toc142311040"/>
      <w:r/>
      <w:bookmarkStart w:id="436" w:name="_Toc151190165"/>
      <w:r/>
      <w:bookmarkStart w:id="437" w:name="_Toc226337234"/>
      <w:r/>
      <w:bookmarkStart w:id="438" w:name="_Toc127151538"/>
      <w:r/>
      <w:bookmarkStart w:id="439" w:name="_Toc265228376"/>
      <w:r/>
      <w:bookmarkStart w:id="440" w:name="_Toc195842903"/>
      <w:r/>
      <w:bookmarkStart w:id="441" w:name="_Toc226965728"/>
      <w:r/>
      <w:bookmarkStart w:id="442" w:name="_Toc520356163"/>
      <w:r/>
      <w:bookmarkStart w:id="443" w:name="_Toc150509289"/>
      <w:r/>
      <w:bookmarkStart w:id="444" w:name="_Toc150774638"/>
      <w:r/>
      <w:bookmarkStart w:id="445" w:name="_Toc226309782"/>
      <w:r/>
      <w:bookmarkStart w:id="446" w:name="_Toc151193636"/>
      <w:r>
        <w:rPr>
          <w:rFonts w:ascii="Times New Roman" w:hAnsi="Times New Roman" w:eastAsia="宋体"/>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ascii="Times New Roman" w:hAnsi="Times New Roman" w:eastAsia="宋体"/>
          <w:sz w:val="28"/>
        </w:rPr>
        <w:t xml:space="preserve">评审</w:t>
      </w:r>
      <w:r>
        <w:rPr>
          <w:rFonts w:ascii="Times New Roman" w:hAnsi="Times New Roman" w:eastAsia="宋体"/>
          <w:sz w:val="28"/>
        </w:rPr>
      </w:r>
      <w:r/>
    </w:p>
    <w:p>
      <w:pPr>
        <w:pStyle w:val="1136"/>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47" w:name="_Toc520356165"/>
      <w:r>
        <w:rPr>
          <w:sz w:val="24"/>
        </w:rPr>
        <w:t xml:space="preserve">本项目不公开报价。</w:t>
      </w:r>
      <w:r>
        <w:rPr>
          <w:rFonts w:hint="eastAsia"/>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136"/>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136"/>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136"/>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136"/>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136"/>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bookmarkEnd w:id="447"/>
      <w:r>
        <w:rPr>
          <w:sz w:val="24"/>
        </w:rPr>
        <w:t xml:space="preserve">磋商小组</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48" w:name="_Toc520356166"/>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48"/>
      <w:r/>
      <w:bookmarkStart w:id="449" w:name="_Toc520356169"/>
      <w:r>
        <w:rPr>
          <w:sz w:val="24"/>
        </w:rPr>
      </w:r>
      <w:r/>
    </w:p>
    <w:p>
      <w:pPr>
        <w:pStyle w:val="1136"/>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136"/>
        <w:ind w:left="1080"/>
        <w:spacing w:line="360" w:lineRule="auto"/>
        <w:tabs>
          <w:tab w:val="left" w:pos="360" w:leader="none"/>
          <w:tab w:val="left" w:pos="1080" w:leader="none"/>
        </w:tabs>
        <w:rPr>
          <w:sz w:val="24"/>
        </w:rPr>
      </w:pPr>
      <w:r>
        <w:rPr>
          <w:sz w:val="24"/>
        </w:rPr>
      </w:r>
      <w:r/>
    </w:p>
    <w:p>
      <w:pPr>
        <w:pStyle w:val="1138"/>
        <w:spacing w:before="0" w:line="360" w:lineRule="auto"/>
        <w:rPr>
          <w:rFonts w:ascii="Times New Roman" w:hAnsi="Times New Roman" w:eastAsia="宋体"/>
          <w:sz w:val="28"/>
        </w:rPr>
      </w:pPr>
      <w:r/>
      <w:bookmarkStart w:id="450" w:name="_Toc142311047"/>
      <w:r/>
      <w:bookmarkStart w:id="451" w:name="_Toc150774750"/>
      <w:r/>
      <w:bookmarkStart w:id="452" w:name="_Toc151193643"/>
      <w:r/>
      <w:bookmarkStart w:id="453" w:name="_Toc195842910"/>
      <w:r/>
      <w:bookmarkStart w:id="454" w:name="_Toc151193715"/>
      <w:r/>
      <w:bookmarkStart w:id="455" w:name="_Toc150774645"/>
      <w:r/>
      <w:bookmarkStart w:id="456" w:name="_Toc150509296"/>
      <w:r/>
      <w:bookmarkStart w:id="457" w:name="_Toc305158813"/>
      <w:r/>
      <w:bookmarkStart w:id="458" w:name="_Toc127151545"/>
      <w:r/>
      <w:bookmarkStart w:id="459" w:name="_Toc226309789"/>
      <w:r/>
      <w:bookmarkStart w:id="460" w:name="_Toc151193933"/>
      <w:r/>
      <w:bookmarkStart w:id="461" w:name="_Toc226337241"/>
      <w:r/>
      <w:bookmarkStart w:id="462" w:name="_Toc226965818"/>
      <w:r/>
      <w:bookmarkStart w:id="463" w:name="_Toc264969235"/>
      <w:r/>
      <w:bookmarkStart w:id="464" w:name="_Toc150480783"/>
      <w:r/>
      <w:bookmarkStart w:id="465" w:name="_Toc305158887"/>
      <w:r/>
      <w:bookmarkStart w:id="466" w:name="_Toc151193787"/>
      <w:r/>
      <w:bookmarkStart w:id="467" w:name="_Toc265228383"/>
      <w:r/>
      <w:bookmarkStart w:id="468" w:name="_Toc151193859"/>
      <w:r/>
      <w:bookmarkStart w:id="469" w:name="_Toc226965735"/>
      <w:r/>
      <w:bookmarkStart w:id="470" w:name="_Toc151190172"/>
      <w:r>
        <w:rPr>
          <w:rFonts w:ascii="Times New Roman" w:hAnsi="Times New Roman" w:eastAsia="宋体"/>
          <w:sz w:val="28"/>
        </w:rPr>
        <w:t xml:space="preserve">六   </w:t>
      </w:r>
      <w:bookmarkEnd w:id="449"/>
      <w:r>
        <w:rPr>
          <w:rFonts w:ascii="Times New Roman" w:hAnsi="Times New Roman" w:eastAsia="宋体"/>
          <w:sz w:val="28"/>
        </w:rPr>
        <w:t xml:space="preserve">确定</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sz w:val="28"/>
        </w:rPr>
        <w:t xml:space="preserve">成交</w:t>
      </w:r>
      <w:r>
        <w:rPr>
          <w:rFonts w:ascii="Times New Roman" w:hAnsi="Times New Roman" w:eastAsia="宋体"/>
          <w:sz w:val="28"/>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471" w:name="_Toc151193645"/>
      <w:r/>
      <w:bookmarkStart w:id="472" w:name="_Toc164229242"/>
      <w:r/>
      <w:bookmarkStart w:id="473" w:name="_Toc305158889"/>
      <w:r/>
      <w:bookmarkStart w:id="474" w:name="_Toc164351641"/>
      <w:r/>
      <w:bookmarkStart w:id="475" w:name="_Toc127161461"/>
      <w:r/>
      <w:bookmarkStart w:id="476" w:name="_Toc226309791"/>
      <w:r/>
      <w:bookmarkStart w:id="477" w:name="_Toc226965737"/>
      <w:r/>
      <w:bookmarkStart w:id="478" w:name="_Toc151193935"/>
      <w:r/>
      <w:bookmarkStart w:id="479" w:name="_Toc264969237"/>
      <w:r/>
      <w:bookmarkStart w:id="480" w:name="_Toc150774647"/>
      <w:r/>
      <w:bookmarkStart w:id="481" w:name="_Toc142311049"/>
      <w:r/>
      <w:bookmarkStart w:id="482" w:name="_Toc150509298"/>
      <w:r/>
      <w:bookmarkStart w:id="483" w:name="_Toc151190174"/>
      <w:r/>
      <w:bookmarkStart w:id="484" w:name="_Toc149720840"/>
      <w:r/>
      <w:bookmarkStart w:id="485" w:name="_Toc226965820"/>
      <w:r/>
      <w:bookmarkStart w:id="486" w:name="_Toc164608661"/>
      <w:r/>
      <w:bookmarkStart w:id="487" w:name="_Toc195842912"/>
      <w:r/>
      <w:bookmarkStart w:id="488" w:name="_Toc151193717"/>
      <w:r/>
      <w:bookmarkStart w:id="489" w:name="_Toc305158815"/>
      <w:r/>
      <w:bookmarkStart w:id="490" w:name="_Toc127151748"/>
      <w:r/>
      <w:bookmarkStart w:id="491" w:name="_Toc150774752"/>
      <w:r/>
      <w:bookmarkStart w:id="492" w:name="_Toc127151547"/>
      <w:r/>
      <w:bookmarkStart w:id="493" w:name="_Toc151193789"/>
      <w:r/>
      <w:bookmarkStart w:id="494" w:name="_Toc150480785"/>
      <w:r/>
      <w:bookmarkStart w:id="495" w:name="_Toc265228385"/>
      <w:r/>
      <w:bookmarkStart w:id="496" w:name="_Toc164229388"/>
      <w:r/>
      <w:bookmarkStart w:id="497" w:name="_Toc226337243"/>
      <w:r/>
      <w:bookmarkStart w:id="498" w:name="_Toc151193861"/>
      <w:r/>
      <w:bookmarkStart w:id="499" w:name="_Toc164608816"/>
      <w:r>
        <w:rPr>
          <w:sz w:val="24"/>
        </w:rPr>
        <w:t xml:space="preserve">确定成交供应商</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bookmarkStart w:id="500" w:name="_Toc305158891"/>
      <w:r/>
      <w:bookmarkStart w:id="501" w:name="_Toc305158817"/>
      <w:r/>
      <w:bookmarkStart w:id="502" w:name="_Toc164229244"/>
      <w:r/>
      <w:bookmarkStart w:id="503" w:name="_Toc164608663"/>
      <w:r/>
      <w:bookmarkStart w:id="504" w:name="_Toc264969239"/>
      <w:r/>
      <w:bookmarkStart w:id="505" w:name="_Toc195842914"/>
      <w:r/>
      <w:bookmarkStart w:id="506" w:name="_Toc151190176"/>
      <w:r/>
      <w:bookmarkStart w:id="507" w:name="_Toc142311051"/>
      <w:r/>
      <w:bookmarkStart w:id="508" w:name="_Toc150774649"/>
      <w:r/>
      <w:bookmarkStart w:id="509" w:name="_Toc149720842"/>
      <w:r/>
      <w:bookmarkStart w:id="510" w:name="_Toc164229390"/>
      <w:r/>
      <w:bookmarkStart w:id="511" w:name="_Toc150480787"/>
      <w:r/>
      <w:bookmarkStart w:id="512" w:name="_Toc127161463"/>
      <w:r/>
      <w:bookmarkStart w:id="513" w:name="_Toc164608818"/>
      <w:r/>
      <w:bookmarkStart w:id="514" w:name="_Toc127151750"/>
      <w:r/>
      <w:bookmarkStart w:id="515" w:name="_Toc520356176"/>
      <w:r/>
      <w:bookmarkStart w:id="516" w:name="_Ref467307090"/>
      <w:r/>
      <w:bookmarkStart w:id="517" w:name="_Ref467306425"/>
      <w:r/>
      <w:bookmarkStart w:id="518" w:name="_Toc151193863"/>
      <w:r/>
      <w:bookmarkStart w:id="519" w:name="_Toc150509300"/>
      <w:r/>
      <w:bookmarkStart w:id="520" w:name="_Toc151193791"/>
      <w:r/>
      <w:bookmarkStart w:id="521" w:name="_Toc226337245"/>
      <w:r/>
      <w:bookmarkStart w:id="522" w:name="_Toc226965739"/>
      <w:r/>
      <w:bookmarkStart w:id="523" w:name="_Toc127151549"/>
      <w:r/>
      <w:bookmarkStart w:id="524" w:name="_Toc151193937"/>
      <w:r/>
      <w:bookmarkStart w:id="525" w:name="_Toc164351643"/>
      <w:r/>
      <w:bookmarkStart w:id="526" w:name="_Toc226965822"/>
      <w:r/>
      <w:bookmarkStart w:id="527" w:name="_Toc151193647"/>
      <w:r/>
      <w:bookmarkStart w:id="528" w:name="_Toc150774754"/>
      <w:r/>
      <w:bookmarkStart w:id="529" w:name="_Toc265228387"/>
      <w:r/>
      <w:bookmarkStart w:id="530" w:name="_Toc226309793"/>
      <w:r/>
      <w:bookmarkStart w:id="531" w:name="_Toc151193719"/>
      <w:r>
        <w:rPr>
          <w:sz w:val="24"/>
        </w:rPr>
        <w:t xml:space="preserve">成交公告与成交通知书</w:t>
      </w:r>
      <w:bookmarkEnd w:id="500"/>
      <w:r/>
      <w:bookmarkEnd w:id="501"/>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13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136"/>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136"/>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136"/>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36"/>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Start w:id="532" w:name="_Toc127161464"/>
      <w:r/>
      <w:bookmarkStart w:id="533" w:name="_Toc226337246"/>
      <w:r/>
      <w:bookmarkStart w:id="534" w:name="_Ref467307204"/>
      <w:r/>
      <w:bookmarkStart w:id="535" w:name="_Toc164608819"/>
      <w:r/>
      <w:bookmarkStart w:id="536" w:name="_Toc150509301"/>
      <w:r/>
      <w:bookmarkStart w:id="537" w:name="_Toc127151751"/>
      <w:r/>
      <w:bookmarkStart w:id="538" w:name="_Toc142311052"/>
      <w:r/>
      <w:bookmarkStart w:id="539" w:name="_Toc305158818"/>
      <w:r/>
      <w:bookmarkStart w:id="540" w:name="_Toc149720843"/>
      <w:r/>
      <w:bookmarkStart w:id="541" w:name="_Toc151193938"/>
      <w:r/>
      <w:bookmarkStart w:id="542" w:name="_Toc150774650"/>
      <w:r/>
      <w:bookmarkStart w:id="543" w:name="_Toc305158892"/>
      <w:r/>
      <w:bookmarkStart w:id="544" w:name="_Toc151193864"/>
      <w:r/>
      <w:bookmarkStart w:id="545" w:name="_Ref467306978"/>
      <w:r/>
      <w:bookmarkStart w:id="546" w:name="_Toc151190177"/>
      <w:r/>
      <w:bookmarkStart w:id="547" w:name="_Ref467307062"/>
      <w:r/>
      <w:bookmarkStart w:id="548" w:name="_Toc151193720"/>
      <w:r/>
      <w:bookmarkStart w:id="549" w:name="_Toc265228388"/>
      <w:r/>
      <w:bookmarkStart w:id="550" w:name="_Toc195842915"/>
      <w:r/>
      <w:bookmarkStart w:id="551" w:name="_Toc264969240"/>
      <w:r/>
      <w:bookmarkStart w:id="552" w:name="_Toc127151550"/>
      <w:r/>
      <w:bookmarkStart w:id="553" w:name="_Toc164229245"/>
      <w:r/>
      <w:bookmarkStart w:id="554" w:name="_Toc520356175"/>
      <w:r/>
      <w:bookmarkStart w:id="555" w:name="_Ref467306377"/>
      <w:r/>
      <w:bookmarkStart w:id="556" w:name="_Toc151193648"/>
      <w:r/>
      <w:bookmarkStart w:id="557" w:name="_Toc226309794"/>
      <w:r/>
      <w:bookmarkStart w:id="558" w:name="_Toc226965823"/>
      <w:r/>
      <w:bookmarkStart w:id="559" w:name="_Toc164351644"/>
      <w:r/>
      <w:bookmarkStart w:id="560" w:name="_Toc164229391"/>
      <w:r/>
      <w:bookmarkStart w:id="561" w:name="_Toc226965740"/>
      <w:r/>
      <w:bookmarkStart w:id="562" w:name="_Toc150480788"/>
      <w:r/>
      <w:bookmarkStart w:id="563" w:name="_Toc164608664"/>
      <w:r/>
      <w:bookmarkStart w:id="564" w:name="_Toc150774755"/>
      <w:r/>
      <w:bookmarkStart w:id="565" w:name="_Toc151193792"/>
      <w:r>
        <w:rPr>
          <w:sz w:val="24"/>
        </w:rPr>
        <w:t xml:space="preserve">签订合同</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bookmarkEnd w:id="515"/>
      <w:r/>
      <w:bookmarkEnd w:id="516"/>
      <w:r/>
      <w:bookmarkEnd w:id="517"/>
      <w:r>
        <w:rPr>
          <w:sz w:val="24"/>
        </w:rPr>
        <w:t xml:space="preserve">询问与质疑</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136"/>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136"/>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136"/>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136"/>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sz w:val="24"/>
        </w:rPr>
      </w:r>
      <w:r/>
    </w:p>
    <w:p>
      <w:pPr>
        <w:pStyle w:val="1136"/>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214"/>
        </w:rPr>
        <w:t xml:space="preserve">http://gk</w:t>
      </w:r>
      <w:bookmarkStart w:id="566" w:name="_Hlt100654014"/>
      <w:r>
        <w:rPr>
          <w:rStyle w:val="1214"/>
        </w:rPr>
        <w:t xml:space="preserve">s</w:t>
      </w:r>
      <w:bookmarkEnd w:id="566"/>
      <w:r>
        <w:rPr>
          <w:rStyle w:val="1214"/>
        </w:rPr>
        <w:t xml:space="preserve">.m</w:t>
      </w:r>
      <w:bookmarkStart w:id="567" w:name="_Hlt100653994"/>
      <w:r/>
      <w:bookmarkStart w:id="568" w:name="_Hlt100653993"/>
      <w:r>
        <w:rPr>
          <w:rStyle w:val="1214"/>
        </w:rPr>
        <w:t xml:space="preserve">o</w:t>
      </w:r>
      <w:bookmarkEnd w:id="567"/>
      <w:r/>
      <w:bookmarkEnd w:id="568"/>
      <w:r/>
      <w:bookmarkStart w:id="569" w:name="_Hlt101169156"/>
      <w:r>
        <w:rPr>
          <w:rStyle w:val="1214"/>
        </w:rPr>
        <w:t xml:space="preserve">f</w:t>
      </w:r>
      <w:bookmarkEnd w:id="569"/>
      <w:r>
        <w:rPr>
          <w:rStyle w:val="1214"/>
        </w:rPr>
        <w:t xml:space="preserve">.gov.cn/ztztz/zhengfucaigouguanli/201802/t20180201_2804589.htm</w:t>
      </w:r>
      <w:r>
        <w:fldChar w:fldCharType="end"/>
      </w:r>
      <w:r>
        <w:rPr>
          <w:rFonts w:hint="eastAsia"/>
        </w:rPr>
        <w:t xml:space="preserve">）</w:t>
      </w:r>
      <w:r>
        <w:rPr>
          <w:sz w:val="24"/>
        </w:rPr>
      </w:r>
      <w:r/>
    </w:p>
    <w:p>
      <w:pPr>
        <w:pStyle w:val="1136"/>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136"/>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136"/>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13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136"/>
        <w:numPr>
          <w:ilvl w:val="0"/>
          <w:numId w:val="0"/>
        </w:numPr>
        <w:jc w:val="both"/>
        <w:spacing w:line="360" w:lineRule="auto"/>
        <w:widowControl w:val="off"/>
        <w:tabs>
          <w:tab w:val="left" w:pos="1080" w:leader="none"/>
          <w:tab w:val="left" w:pos="2014" w:leader="none"/>
        </w:tabs>
        <w:rPr>
          <w:sz w:val="24"/>
        </w:rPr>
      </w:pPr>
      <w:r/>
      <w:bookmarkStart w:id="570" w:name="_Toc150774759"/>
      <w:r/>
      <w:bookmarkStart w:id="571" w:name="_Toc265228392"/>
      <w:r/>
      <w:bookmarkStart w:id="572" w:name="_Toc264969244"/>
      <w:r/>
      <w:bookmarkStart w:id="573" w:name="_Toc353825544"/>
      <w:r/>
      <w:bookmarkStart w:id="574" w:name="_Toc142311056"/>
      <w:r/>
      <w:bookmarkStart w:id="575" w:name="_Toc127151554"/>
      <w:r/>
      <w:bookmarkStart w:id="576" w:name="_Toc150480792"/>
      <w:r/>
      <w:bookmarkStart w:id="577" w:name="_Toc226337250"/>
      <w:r/>
      <w:bookmarkStart w:id="578" w:name="_Toc353873664"/>
      <w:r/>
      <w:bookmarkStart w:id="579" w:name="_Toc305158896"/>
      <w:r/>
      <w:bookmarkStart w:id="580" w:name="_Toc305158822"/>
      <w:r/>
      <w:bookmarkStart w:id="581" w:name="_Toc353873934"/>
      <w:r/>
      <w:bookmarkStart w:id="582" w:name="_Toc226965827"/>
      <w:r>
        <w:rPr>
          <w:sz w:val="24"/>
        </w:rPr>
      </w:r>
      <w:r/>
    </w:p>
    <w:p>
      <w:pPr>
        <w:pStyle w:val="1136"/>
        <w:ind w:firstLine="480"/>
        <w:spacing w:line="360" w:lineRule="auto"/>
        <w:rPr>
          <w:rFonts w:hint="eastAsia" w:ascii="Times New Roman" w:hAnsi="Times New Roman" w:eastAsia="宋体" w:cs="Times New Roman"/>
          <w:sz w:val="24"/>
        </w:rPr>
      </w:pPr>
      <w:r>
        <w:rPr>
          <w:rFonts w:hint="eastAsia"/>
          <w:sz w:val="24"/>
          <w:lang w:val="en-US" w:eastAsia="zh-CN"/>
        </w:rPr>
        <w:t xml:space="preserve">26</w:t>
      </w: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电子履约保函</w:t>
      </w:r>
      <w:r>
        <w:rPr>
          <w:rFonts w:hint="eastAsia" w:ascii="Times New Roman" w:hAnsi="Times New Roman" w:eastAsia="宋体" w:cs="Times New Roman"/>
          <w:sz w:val="24"/>
        </w:rPr>
      </w:r>
      <w:r/>
    </w:p>
    <w:p>
      <w:pPr>
        <w:pStyle w:val="1136"/>
        <w:ind w:firstLine="480"/>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sz w:val="24"/>
          <w:lang w:eastAsia="zh-CN"/>
        </w:rPr>
      </w:r>
      <w:r/>
    </w:p>
    <w:p>
      <w:pPr>
        <w:pStyle w:val="1217"/>
        <w:tabs>
          <w:tab w:val="left" w:pos="567" w:leader="none"/>
        </w:tabs>
        <w:rPr>
          <w:rFonts w:eastAsia="宋体"/>
          <w:lang w:val="en-US" w:eastAsia="zh-CN"/>
        </w:rPr>
        <w:sectPr>
          <w:footerReference w:type="default" r:id="rId19"/>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rFonts w:eastAsia="宋体"/>
          <w:lang w:val="en-US" w:eastAsia="zh-CN"/>
        </w:rPr>
      </w:r>
      <w:r/>
    </w:p>
    <w:p>
      <w:pPr>
        <w:pStyle w:val="1136"/>
        <w:jc w:val="center"/>
        <w:spacing w:line="360" w:lineRule="auto"/>
        <w:rPr>
          <w:b/>
          <w:sz w:val="36"/>
          <w:szCs w:val="36"/>
        </w:rPr>
        <w:outlineLvl w:val="0"/>
      </w:pPr>
      <w:r/>
      <w:bookmarkStart w:id="583" w:name="_Toc20589"/>
      <w:r>
        <w:rPr>
          <w:b/>
          <w:sz w:val="36"/>
          <w:szCs w:val="36"/>
        </w:rPr>
        <w:t xml:space="preserve">第三章   </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b/>
          <w:sz w:val="36"/>
          <w:szCs w:val="36"/>
        </w:rPr>
        <w:t xml:space="preserve">评审</w:t>
      </w:r>
      <w:r>
        <w:rPr>
          <w:rFonts w:hint="eastAsia"/>
          <w:b/>
          <w:sz w:val="36"/>
          <w:szCs w:val="36"/>
        </w:rPr>
        <w:t xml:space="preserve">程序、评审</w:t>
      </w:r>
      <w:r>
        <w:rPr>
          <w:b/>
          <w:sz w:val="36"/>
          <w:szCs w:val="36"/>
        </w:rPr>
        <w:t xml:space="preserve">方法和评审标准</w:t>
      </w:r>
      <w:bookmarkEnd w:id="583"/>
      <w:r/>
      <w:bookmarkStart w:id="584" w:name="_Toc487900382"/>
      <w:r>
        <w:rPr>
          <w:b/>
          <w:sz w:val="36"/>
          <w:szCs w:val="36"/>
        </w:rPr>
      </w:r>
      <w:r/>
    </w:p>
    <w:p>
      <w:pPr>
        <w:pStyle w:val="1138"/>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136"/>
        <w:jc w:val="left"/>
        <w:tabs>
          <w:tab w:val="left" w:pos="1080" w:leader="none"/>
        </w:tabs>
        <w:rPr>
          <w:b/>
          <w:sz w:val="24"/>
        </w:rPr>
      </w:pPr>
      <w:r>
        <w:rPr>
          <w:b/>
          <w:sz w:val="24"/>
        </w:rPr>
        <w:tab/>
      </w:r>
      <w:r>
        <w:rPr>
          <w:b/>
          <w:sz w:val="24"/>
        </w:rPr>
      </w:r>
      <w:r/>
    </w:p>
    <w:p>
      <w:pPr>
        <w:pStyle w:val="1136"/>
        <w:numPr>
          <w:ilvl w:val="0"/>
          <w:numId w:val="11"/>
        </w:numPr>
        <w:spacing w:line="360" w:lineRule="auto"/>
        <w:tabs>
          <w:tab w:val="left" w:pos="360" w:leader="none"/>
          <w:tab w:val="left" w:pos="900" w:leader="none"/>
        </w:tabs>
        <w:rPr>
          <w:sz w:val="24"/>
        </w:rPr>
        <w:outlineLvl w:val="1"/>
      </w:pPr>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584"/>
      <w:r/>
      <w:bookmarkStart w:id="585" w:name="_Toc164229236"/>
      <w:r/>
      <w:bookmarkStart w:id="586" w:name="_Toc226965814"/>
      <w:r/>
      <w:bookmarkStart w:id="587" w:name="_Toc150774746"/>
      <w:r/>
      <w:bookmarkStart w:id="588" w:name="_Toc164229382"/>
      <w:r/>
      <w:bookmarkStart w:id="589" w:name="_Toc264969231"/>
      <w:r/>
      <w:bookmarkStart w:id="590" w:name="_Toc226309785"/>
      <w:r/>
      <w:bookmarkStart w:id="591" w:name="_Toc149720834"/>
      <w:r/>
      <w:bookmarkStart w:id="592" w:name="_Toc226337237"/>
      <w:r/>
      <w:bookmarkStart w:id="593" w:name="_Toc127151742"/>
      <w:r/>
      <w:bookmarkStart w:id="594" w:name="_Toc305158883"/>
      <w:r/>
      <w:bookmarkStart w:id="595" w:name="_Toc151190168"/>
      <w:r/>
      <w:bookmarkStart w:id="596" w:name="_Toc265228379"/>
      <w:r/>
      <w:bookmarkStart w:id="597" w:name="_Toc150509292"/>
      <w:r/>
      <w:bookmarkStart w:id="598" w:name="_Toc150480779"/>
      <w:r/>
      <w:bookmarkStart w:id="599" w:name="_Toc151193855"/>
      <w:r/>
      <w:bookmarkStart w:id="600" w:name="_Toc151193639"/>
      <w:r/>
      <w:bookmarkStart w:id="601" w:name="_Toc127151541"/>
      <w:r/>
      <w:bookmarkStart w:id="602" w:name="_Toc195842906"/>
      <w:r/>
      <w:bookmarkStart w:id="603" w:name="_Toc150774641"/>
      <w:r/>
      <w:bookmarkStart w:id="604" w:name="_Toc127161455"/>
      <w:r/>
      <w:bookmarkStart w:id="605" w:name="_Toc142311043"/>
      <w:r/>
      <w:bookmarkStart w:id="606" w:name="_Toc305158809"/>
      <w:r/>
      <w:bookmarkStart w:id="607" w:name="_Toc151193783"/>
      <w:r/>
      <w:bookmarkStart w:id="608" w:name="_Toc226965731"/>
      <w:r/>
      <w:bookmarkStart w:id="609" w:name="_Toc164608655"/>
      <w:r/>
      <w:bookmarkStart w:id="610" w:name="_Toc151193711"/>
      <w:r/>
      <w:bookmarkStart w:id="611" w:name="_Toc164351635"/>
      <w:r/>
      <w:bookmarkStart w:id="612" w:name="_Toc151193929"/>
      <w:r/>
      <w:bookmarkStart w:id="613" w:name="_Toc164608810"/>
      <w:r/>
      <w:bookmarkStart w:id="614" w:name="_Toc305158897"/>
      <w:r/>
      <w:bookmarkStart w:id="615" w:name="_Toc353825551"/>
      <w:r/>
      <w:bookmarkStart w:id="616" w:name="_Toc353873941"/>
      <w:r/>
      <w:bookmarkStart w:id="617" w:name="_Toc127151555"/>
      <w:r/>
      <w:bookmarkStart w:id="618" w:name="_Toc226337251"/>
      <w:r/>
      <w:bookmarkStart w:id="619" w:name="_Toc195842920"/>
      <w:r/>
      <w:bookmarkStart w:id="620" w:name="_Toc353873665"/>
      <w:r/>
      <w:bookmarkStart w:id="621" w:name="_Toc150774760"/>
      <w:r/>
      <w:bookmarkStart w:id="622" w:name="_Toc305158823"/>
      <w:r/>
      <w:bookmarkStart w:id="623" w:name="_Toc264969245"/>
      <w:r/>
      <w:bookmarkStart w:id="624" w:name="_Toc353873935"/>
      <w:r/>
      <w:bookmarkStart w:id="625" w:name="_Toc265228393"/>
      <w:r/>
      <w:bookmarkStart w:id="626" w:name="_Toc150480793"/>
      <w:r/>
      <w:bookmarkStart w:id="627" w:name="_Toc353825545"/>
      <w:r/>
      <w:bookmarkStart w:id="628" w:name="_Toc226965828"/>
      <w:r/>
      <w:bookmarkStart w:id="629" w:name="_Toc142311057"/>
      <w:r>
        <w:rPr>
          <w:sz w:val="24"/>
        </w:rPr>
        <w:t xml:space="preserve">响应文件的</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sz w:val="24"/>
        </w:rPr>
        <w:t xml:space="preserve">资格性检查和符合性审查</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136"/>
        <w:ind w:left="1077" w:firstLine="2650"/>
        <w:spacing w:line="360" w:lineRule="auto"/>
        <w:tabs>
          <w:tab w:val="left" w:pos="900" w:leader="none"/>
          <w:tab w:val="left" w:pos="1080" w:leader="none"/>
        </w:tabs>
        <w:rPr>
          <w:b/>
          <w:sz w:val="24"/>
        </w:rPr>
      </w:pPr>
      <w:r/>
      <w:bookmarkStart w:id="630" w:name="_Hlt487972895"/>
      <w:r/>
      <w:bookmarkEnd w:id="630"/>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5"/>
        <w:gridCol w:w="4899"/>
        <w:gridCol w:w="1807"/>
      </w:tblGrid>
      <w:tr>
        <w:trPr>
          <w:cantSplit/>
          <w:trHeight w:val="1514"/>
        </w:trPr>
        <w:tc>
          <w:tcPr>
            <w:tcW w:w="696" w:type="dxa"/>
            <w:vAlign w:val="center"/>
            <w:textDirection w:val="lrTb"/>
            <w:noWrap w:val="false"/>
          </w:tcPr>
          <w:p>
            <w:pPr>
              <w:pStyle w:val="1136"/>
              <w:jc w:val="center"/>
              <w:tabs>
                <w:tab w:val="left" w:pos="1080" w:leader="none"/>
              </w:tabs>
              <w:rPr>
                <w:sz w:val="24"/>
                <w:szCs w:val="24"/>
              </w:rPr>
            </w:pPr>
            <w:r>
              <w:rPr>
                <w:sz w:val="24"/>
                <w:szCs w:val="24"/>
              </w:rPr>
              <w:t xml:space="preserve">1</w:t>
            </w:r>
            <w:r>
              <w:rPr>
                <w:sz w:val="24"/>
                <w:szCs w:val="24"/>
              </w:rPr>
            </w:r>
            <w:r/>
          </w:p>
        </w:tc>
        <w:tc>
          <w:tcPr>
            <w:tcW w:w="1885" w:type="dxa"/>
            <w:vAlign w:val="center"/>
            <w:textDirection w:val="lrTb"/>
            <w:noWrap w:val="false"/>
          </w:tcPr>
          <w:p>
            <w:pPr>
              <w:pStyle w:val="1136"/>
              <w:jc w:val="left"/>
              <w:tabs>
                <w:tab w:val="left" w:pos="1080" w:leader="none"/>
              </w:tabs>
              <w:rPr>
                <w:sz w:val="24"/>
                <w:szCs w:val="24"/>
              </w:rPr>
            </w:pPr>
            <w:r>
              <w:rPr>
                <w:sz w:val="24"/>
                <w:szCs w:val="24"/>
              </w:rPr>
              <w:t xml:space="preserve">满足《中华人民共和国政府采购法》第二十二条规定</w:t>
            </w:r>
            <w:r>
              <w:rPr>
                <w:sz w:val="24"/>
                <w:szCs w:val="24"/>
              </w:rPr>
            </w:r>
            <w:r/>
          </w:p>
        </w:tc>
        <w:tc>
          <w:tcPr>
            <w:tcW w:w="4900" w:type="dxa"/>
            <w:vAlign w:val="center"/>
            <w:textDirection w:val="lrTb"/>
            <w:noWrap w:val="false"/>
          </w:tcPr>
          <w:p>
            <w:pPr>
              <w:pStyle w:val="1136"/>
              <w:tabs>
                <w:tab w:val="left" w:pos="1080" w:leader="none"/>
              </w:tabs>
              <w:rPr>
                <w:sz w:val="24"/>
                <w:szCs w:val="24"/>
              </w:rPr>
            </w:pPr>
            <w:r>
              <w:rPr>
                <w:rFonts w:hint="eastAsia"/>
                <w:sz w:val="24"/>
                <w:szCs w:val="24"/>
              </w:rPr>
              <w:t xml:space="preserve">具体规定见第一章《竞争性磋商公告》</w:t>
            </w:r>
            <w:r>
              <w:rPr>
                <w:sz w:val="24"/>
                <w:szCs w:val="24"/>
              </w:rPr>
            </w:r>
            <w:r/>
          </w:p>
        </w:tc>
        <w:tc>
          <w:tcPr>
            <w:tcW w:w="1807" w:type="dxa"/>
            <w:vAlign w:val="center"/>
            <w:textDirection w:val="lrTb"/>
            <w:noWrap w:val="false"/>
          </w:tcPr>
          <w:p>
            <w:pPr>
              <w:pStyle w:val="1136"/>
              <w:tabs>
                <w:tab w:val="left" w:pos="1080" w:leader="none"/>
              </w:tabs>
              <w:rPr>
                <w:sz w:val="24"/>
                <w:szCs w:val="24"/>
              </w:rPr>
            </w:pPr>
            <w:r>
              <w:rPr>
                <w:sz w:val="24"/>
                <w:szCs w:val="24"/>
              </w:rPr>
            </w:r>
            <w:r/>
          </w:p>
        </w:tc>
      </w:tr>
      <w:tr>
        <w:trPr>
          <w:cantSplit/>
          <w:trHeight w:val="924"/>
        </w:trPr>
        <w:tc>
          <w:tcPr>
            <w:tcW w:w="696" w:type="dxa"/>
            <w:vAlign w:val="center"/>
            <w:textDirection w:val="lrTb"/>
            <w:noWrap w:val="false"/>
          </w:tcPr>
          <w:p>
            <w:pPr>
              <w:pStyle w:val="1136"/>
              <w:jc w:val="center"/>
              <w:tabs>
                <w:tab w:val="left" w:pos="1080" w:leader="none"/>
              </w:tabs>
              <w:rPr>
                <w:sz w:val="24"/>
                <w:szCs w:val="24"/>
              </w:rPr>
            </w:pPr>
            <w:r>
              <w:rPr>
                <w:rFonts w:hint="eastAsia"/>
                <w:sz w:val="24"/>
                <w:szCs w:val="24"/>
              </w:rPr>
              <w:t xml:space="preserve">1-1</w:t>
            </w:r>
            <w:r>
              <w:rPr>
                <w:sz w:val="24"/>
                <w:szCs w:val="24"/>
              </w:rPr>
            </w:r>
            <w:r/>
          </w:p>
        </w:tc>
        <w:tc>
          <w:tcPr>
            <w:tcW w:w="1885" w:type="dxa"/>
            <w:vAlign w:val="center"/>
            <w:textDirection w:val="lrTb"/>
            <w:noWrap w:val="false"/>
          </w:tcPr>
          <w:p>
            <w:pPr>
              <w:pStyle w:val="1136"/>
              <w:jc w:val="left"/>
              <w:tabs>
                <w:tab w:val="left" w:pos="1080" w:leader="none"/>
              </w:tabs>
              <w:rPr>
                <w:sz w:val="24"/>
                <w:szCs w:val="24"/>
              </w:rPr>
            </w:pPr>
            <w:r>
              <w:rPr>
                <w:rFonts w:hint="eastAsia"/>
                <w:sz w:val="24"/>
                <w:szCs w:val="24"/>
              </w:rPr>
              <w:t xml:space="preserve">供应商资格声明函</w:t>
            </w:r>
            <w:r>
              <w:rPr>
                <w:sz w:val="24"/>
                <w:szCs w:val="24"/>
              </w:rPr>
            </w:r>
            <w:r/>
          </w:p>
        </w:tc>
        <w:tc>
          <w:tcPr>
            <w:tcW w:w="4900" w:type="dxa"/>
            <w:vAlign w:val="center"/>
            <w:textDirection w:val="lrTb"/>
            <w:noWrap w:val="false"/>
          </w:tcPr>
          <w:p>
            <w:pPr>
              <w:pStyle w:val="1136"/>
              <w:tabs>
                <w:tab w:val="left" w:pos="1080" w:leader="none"/>
              </w:tabs>
              <w:rPr>
                <w:sz w:val="24"/>
                <w:szCs w:val="24"/>
              </w:rPr>
            </w:pPr>
            <w:r>
              <w:rPr>
                <w:sz w:val="24"/>
                <w:szCs w:val="24"/>
              </w:rPr>
              <w:t xml:space="preserve">提供了符合</w:t>
            </w:r>
            <w:r>
              <w:rPr>
                <w:rFonts w:hint="eastAsia"/>
                <w:sz w:val="24"/>
                <w:szCs w:val="24"/>
              </w:rPr>
              <w:t xml:space="preserve">采购</w:t>
            </w:r>
            <w:r>
              <w:rPr>
                <w:sz w:val="24"/>
                <w:szCs w:val="24"/>
              </w:rPr>
              <w:t xml:space="preserve">文件要求的《</w:t>
            </w:r>
            <w:r>
              <w:rPr>
                <w:rFonts w:hint="eastAsia"/>
                <w:sz w:val="24"/>
                <w:szCs w:val="24"/>
              </w:rPr>
              <w:t xml:space="preserve">供应商资格声明函</w:t>
            </w:r>
            <w:r>
              <w:rPr>
                <w:sz w:val="24"/>
                <w:szCs w:val="24"/>
              </w:rPr>
              <w:t xml:space="preserve">》。</w:t>
            </w:r>
            <w:r>
              <w:rPr>
                <w:sz w:val="24"/>
                <w:szCs w:val="24"/>
              </w:rPr>
            </w:r>
            <w:r/>
          </w:p>
        </w:tc>
        <w:tc>
          <w:tcPr>
            <w:tcW w:w="1807" w:type="dxa"/>
            <w:vAlign w:val="center"/>
            <w:textDirection w:val="lrTb"/>
            <w:noWrap w:val="false"/>
          </w:tcPr>
          <w:p>
            <w:pPr>
              <w:pStyle w:val="1136"/>
              <w:tabs>
                <w:tab w:val="left" w:pos="1080" w:leader="none"/>
              </w:tabs>
              <w:rPr>
                <w:sz w:val="24"/>
                <w:szCs w:val="24"/>
              </w:rPr>
            </w:pPr>
            <w:r>
              <w:rPr>
                <w:sz w:val="24"/>
                <w:szCs w:val="24"/>
              </w:rPr>
              <w:t xml:space="preserve">格式见《</w:t>
            </w:r>
            <w:r>
              <w:rPr>
                <w:rFonts w:hint="eastAsia"/>
                <w:sz w:val="24"/>
                <w:szCs w:val="24"/>
              </w:rPr>
              <w:t xml:space="preserve">响应</w:t>
            </w:r>
            <w:r>
              <w:rPr>
                <w:sz w:val="24"/>
                <w:szCs w:val="24"/>
              </w:rPr>
              <w:t xml:space="preserve">文件格式》</w:t>
            </w:r>
            <w:r>
              <w:rPr>
                <w:sz w:val="24"/>
                <w:szCs w:val="24"/>
              </w:rPr>
            </w:r>
            <w:r/>
          </w:p>
        </w:tc>
      </w:tr>
      <w:tr>
        <w:trPr>
          <w:cantSplit/>
          <w:trHeight w:val="1666"/>
        </w:trPr>
        <w:tc>
          <w:tcPr>
            <w:tcW w:w="696" w:type="dxa"/>
            <w:vAlign w:val="center"/>
            <w:textDirection w:val="lrTb"/>
            <w:noWrap w:val="false"/>
          </w:tcPr>
          <w:p>
            <w:pPr>
              <w:pStyle w:val="1136"/>
              <w:jc w:val="center"/>
              <w:tabs>
                <w:tab w:val="left" w:pos="1080" w:leader="none"/>
              </w:tabs>
              <w:rPr>
                <w:sz w:val="24"/>
                <w:szCs w:val="24"/>
              </w:rPr>
            </w:pPr>
            <w:r>
              <w:rPr>
                <w:rFonts w:hint="eastAsia"/>
                <w:sz w:val="24"/>
                <w:szCs w:val="24"/>
              </w:rPr>
              <w:t xml:space="preserve">1-2</w:t>
            </w:r>
            <w:r>
              <w:rPr>
                <w:sz w:val="24"/>
                <w:szCs w:val="24"/>
              </w:rPr>
            </w:r>
            <w:r/>
          </w:p>
        </w:tc>
        <w:tc>
          <w:tcPr>
            <w:tcW w:w="1885" w:type="dxa"/>
            <w:vAlign w:val="center"/>
            <w:textDirection w:val="lrTb"/>
            <w:noWrap w:val="false"/>
          </w:tcPr>
          <w:p>
            <w:pPr>
              <w:pStyle w:val="1136"/>
              <w:tabs>
                <w:tab w:val="left" w:pos="1080" w:leader="none"/>
              </w:tabs>
              <w:rPr>
                <w:sz w:val="24"/>
                <w:szCs w:val="24"/>
              </w:rPr>
            </w:pPr>
            <w:r>
              <w:rPr>
                <w:rFonts w:hint="eastAsia"/>
                <w:sz w:val="24"/>
                <w:szCs w:val="24"/>
              </w:rPr>
              <w:t xml:space="preserve">供应商信用记录</w:t>
            </w:r>
            <w:r>
              <w:rPr>
                <w:sz w:val="24"/>
                <w:szCs w:val="24"/>
              </w:rPr>
            </w:r>
            <w:r/>
          </w:p>
        </w:tc>
        <w:tc>
          <w:tcPr>
            <w:tcW w:w="4900" w:type="dxa"/>
            <w:vAlign w:val="center"/>
            <w:textDirection w:val="lrTb"/>
            <w:noWrap w:val="false"/>
          </w:tcPr>
          <w:p>
            <w:pPr>
              <w:pStyle w:val="1136"/>
              <w:tabs>
                <w:tab w:val="left" w:pos="1080" w:leader="none"/>
              </w:tabs>
              <w:rPr>
                <w:sz w:val="24"/>
                <w:szCs w:val="24"/>
              </w:rPr>
            </w:pPr>
            <w:r>
              <w:rPr>
                <w:rFonts w:hint="eastAsia"/>
                <w:sz w:val="24"/>
                <w:szCs w:val="24"/>
              </w:rPr>
              <w:t xml:space="preserve">查询渠道：信用中国网站或中国政府采购网（www.creditchina.gov.cn、www.ccgp.gov.cn）；</w:t>
            </w:r>
            <w:r>
              <w:rPr>
                <w:sz w:val="24"/>
                <w:szCs w:val="24"/>
              </w:rPr>
            </w:r>
            <w:r/>
          </w:p>
          <w:p>
            <w:pPr>
              <w:pStyle w:val="1136"/>
              <w:tabs>
                <w:tab w:val="left" w:pos="1080" w:leader="none"/>
              </w:tabs>
              <w:rPr>
                <w:sz w:val="24"/>
                <w:szCs w:val="24"/>
              </w:rPr>
            </w:pPr>
            <w:r>
              <w:rPr>
                <w:rFonts w:hint="eastAsia"/>
                <w:sz w:val="24"/>
                <w:szCs w:val="24"/>
              </w:rPr>
              <w:t xml:space="preserve">截止时点：提交响应文件截止时间以后、资格审查阶段采购人或采购代理机构的实际查询时间；</w:t>
            </w:r>
            <w:r>
              <w:rPr>
                <w:sz w:val="24"/>
                <w:szCs w:val="24"/>
              </w:rPr>
            </w:r>
            <w:r/>
          </w:p>
          <w:p>
            <w:pPr>
              <w:pStyle w:val="1136"/>
              <w:tabs>
                <w:tab w:val="left" w:pos="1080" w:leader="none"/>
              </w:tabs>
              <w:rPr>
                <w:sz w:val="24"/>
                <w:szCs w:val="24"/>
              </w:rPr>
            </w:pPr>
            <w:r>
              <w:rPr>
                <w:rFonts w:hint="eastAsia"/>
                <w:sz w:val="24"/>
                <w:szCs w:val="24"/>
              </w:rPr>
              <w:t xml:space="preserve">信用信息查询记录和证据留存具体方式：查询结果网页打印页作为查询记录和证据，与其他采购文件一并保存；</w:t>
            </w:r>
            <w:r>
              <w:rPr>
                <w:sz w:val="24"/>
                <w:szCs w:val="24"/>
              </w:rPr>
            </w:r>
            <w:r/>
          </w:p>
          <w:p>
            <w:pPr>
              <w:pStyle w:val="1136"/>
              <w:tabs>
                <w:tab w:val="left" w:pos="1080" w:leader="none"/>
              </w:tabs>
              <w:rPr>
                <w:sz w:val="24"/>
                <w:szCs w:val="24"/>
              </w:rPr>
            </w:pPr>
            <w:r>
              <w:rPr>
                <w:rFonts w:hint="eastAsia"/>
                <w:sz w:val="24"/>
                <w:szCs w:val="24"/>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sz w:val="24"/>
                <w:szCs w:val="24"/>
              </w:rPr>
            </w:r>
            <w:r/>
          </w:p>
        </w:tc>
        <w:tc>
          <w:tcPr>
            <w:tcW w:w="1807" w:type="dxa"/>
            <w:vAlign w:val="center"/>
            <w:textDirection w:val="lrTb"/>
            <w:noWrap w:val="false"/>
          </w:tcPr>
          <w:p>
            <w:pPr>
              <w:pStyle w:val="1136"/>
              <w:tabs>
                <w:tab w:val="left" w:pos="1080" w:leader="none"/>
              </w:tabs>
              <w:rPr>
                <w:sz w:val="24"/>
                <w:szCs w:val="24"/>
              </w:rPr>
            </w:pPr>
            <w:r>
              <w:rPr>
                <w:rFonts w:hint="eastAsia"/>
                <w:sz w:val="24"/>
                <w:szCs w:val="24"/>
              </w:rPr>
              <w:t xml:space="preserve">无须供应商提供，由采购人或采购代理机构查询。</w:t>
            </w:r>
            <w:r>
              <w:rPr>
                <w:sz w:val="24"/>
                <w:szCs w:val="24"/>
              </w:rPr>
            </w:r>
            <w:r/>
          </w:p>
        </w:tc>
      </w:tr>
      <w:tr>
        <w:trPr>
          <w:cantSplit/>
          <w:trHeight w:val="1666"/>
        </w:trPr>
        <w:tc>
          <w:tcPr>
            <w:tcW w:w="696" w:type="dxa"/>
            <w:vAlign w:val="center"/>
            <w:textDirection w:val="lrTb"/>
            <w:noWrap w:val="false"/>
          </w:tcPr>
          <w:p>
            <w:pPr>
              <w:pStyle w:val="1136"/>
              <w:jc w:val="center"/>
              <w:tabs>
                <w:tab w:val="left" w:pos="1080"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885" w:type="dxa"/>
            <w:vAlign w:val="center"/>
            <w:textDirection w:val="lrTb"/>
            <w:noWrap w:val="false"/>
          </w:tcPr>
          <w:p>
            <w:pPr>
              <w:pStyle w:val="1136"/>
              <w:tabs>
                <w:tab w:val="left" w:pos="1080" w:leader="none"/>
              </w:tabs>
              <w:rPr>
                <w:sz w:val="24"/>
                <w:szCs w:val="24"/>
              </w:rPr>
            </w:pPr>
            <w:r>
              <w:rPr>
                <w:rFonts w:hint="eastAsia"/>
                <w:sz w:val="24"/>
                <w:szCs w:val="24"/>
              </w:rPr>
              <w:t xml:space="preserve">落实政府采购政策需满足的资格要求</w:t>
            </w:r>
            <w:r>
              <w:rPr>
                <w:sz w:val="24"/>
                <w:szCs w:val="24"/>
              </w:rPr>
            </w:r>
            <w:r/>
          </w:p>
        </w:tc>
        <w:tc>
          <w:tcPr>
            <w:tcW w:w="4900" w:type="dxa"/>
            <w:vAlign w:val="center"/>
            <w:textDirection w:val="lrTb"/>
            <w:noWrap w:val="false"/>
          </w:tcPr>
          <w:p>
            <w:pPr>
              <w:pStyle w:val="1136"/>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36"/>
              <w:tabs>
                <w:tab w:val="left" w:pos="1080" w:leader="none"/>
              </w:tabs>
              <w:rPr>
                <w:sz w:val="24"/>
                <w:szCs w:val="24"/>
              </w:rPr>
            </w:pPr>
            <w:r>
              <w:rPr>
                <w:sz w:val="24"/>
                <w:szCs w:val="24"/>
              </w:rPr>
            </w:r>
            <w:r/>
          </w:p>
        </w:tc>
      </w:tr>
      <w:tr>
        <w:trPr>
          <w:cantSplit/>
          <w:trHeight w:val="632"/>
        </w:trPr>
        <w:tc>
          <w:tcPr>
            <w:tcW w:w="696" w:type="dxa"/>
            <w:vAlign w:val="center"/>
            <w:textDirection w:val="lrTb"/>
            <w:noWrap w:val="false"/>
          </w:tcPr>
          <w:p>
            <w:pPr>
              <w:pStyle w:val="1136"/>
              <w:jc w:val="center"/>
              <w:tabs>
                <w:tab w:val="left" w:pos="1080" w:leader="none"/>
              </w:tabs>
              <w:rPr>
                <w:sz w:val="24"/>
                <w:szCs w:val="24"/>
              </w:rPr>
            </w:pPr>
            <w:r>
              <w:rPr>
                <w:rFonts w:hint="eastAsia"/>
                <w:sz w:val="24"/>
                <w:szCs w:val="24"/>
              </w:rPr>
              <w:t xml:space="preserve">2-1</w:t>
            </w:r>
            <w:r>
              <w:rPr>
                <w:sz w:val="24"/>
                <w:szCs w:val="24"/>
              </w:rPr>
            </w:r>
            <w:r/>
          </w:p>
        </w:tc>
        <w:tc>
          <w:tcPr>
            <w:tcW w:w="1885" w:type="dxa"/>
            <w:vAlign w:val="center"/>
            <w:textDirection w:val="lrTb"/>
            <w:noWrap w:val="false"/>
          </w:tcPr>
          <w:p>
            <w:pPr>
              <w:pStyle w:val="1136"/>
              <w:tabs>
                <w:tab w:val="left" w:pos="1080" w:leader="none"/>
              </w:tabs>
              <w:rPr>
                <w:sz w:val="24"/>
                <w:szCs w:val="24"/>
              </w:rPr>
            </w:pPr>
            <w:r>
              <w:rPr>
                <w:sz w:val="24"/>
                <w:szCs w:val="24"/>
              </w:rPr>
              <w:t xml:space="preserve">中小企业声明函</w:t>
            </w:r>
            <w:r>
              <w:rPr>
                <w:sz w:val="24"/>
                <w:szCs w:val="24"/>
              </w:rPr>
            </w:r>
            <w:r/>
          </w:p>
        </w:tc>
        <w:tc>
          <w:tcPr>
            <w:tcW w:w="4900" w:type="dxa"/>
            <w:vAlign w:val="center"/>
            <w:textDirection w:val="lrTb"/>
            <w:noWrap w:val="false"/>
          </w:tcPr>
          <w:p>
            <w:pPr>
              <w:pStyle w:val="1136"/>
              <w:tabs>
                <w:tab w:val="left" w:pos="1080" w:leader="none"/>
              </w:tabs>
              <w:rPr>
                <w:rFonts w:hint="eastAsia"/>
                <w:sz w:val="24"/>
              </w:rPr>
            </w:pPr>
            <w:r>
              <w:rPr>
                <w:rFonts w:hint="eastAsia"/>
                <w:sz w:val="24"/>
              </w:rPr>
              <w:t xml:space="preserve">1、供应商单独参与磋商的，应提供中小企业声明函；如为监狱企业或残疾人福利性单位，不必提供中小企业声明函，但须按注1或注2要求提供证明材料。</w:t>
            </w:r>
            <w:r>
              <w:rPr>
                <w:rFonts w:hint="eastAsia"/>
                <w:sz w:val="24"/>
              </w:rPr>
            </w:r>
            <w:r/>
          </w:p>
          <w:p>
            <w:pPr>
              <w:pStyle w:val="1136"/>
              <w:tabs>
                <w:tab w:val="left" w:pos="1080" w:leader="none"/>
              </w:tabs>
              <w:rPr>
                <w:rFonts w:hint="eastAsia"/>
                <w:sz w:val="24"/>
              </w:rPr>
            </w:pPr>
            <w:r>
              <w:rPr>
                <w:rFonts w:hint="eastAsia"/>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sz w:val="24"/>
              </w:rPr>
            </w:r>
            <w:r/>
          </w:p>
          <w:p>
            <w:pPr>
              <w:pStyle w:val="1136"/>
              <w:tabs>
                <w:tab w:val="left" w:pos="1080" w:leader="none"/>
              </w:tabs>
              <w:rPr>
                <w:rFonts w:hint="eastAsia"/>
                <w:sz w:val="24"/>
              </w:rPr>
            </w:pPr>
            <w:r>
              <w:rPr>
                <w:rFonts w:hint="eastAsia"/>
                <w:sz w:val="24"/>
              </w:rPr>
              <w:t xml:space="preserve">注1：监狱企业须提供由省级以上监狱管理局（常州市含教育矫治局）、戒毒管理局（含新疆生产建设兵团）出具的属于监狱企业的证明文件。</w:t>
            </w:r>
            <w:r>
              <w:rPr>
                <w:rFonts w:hint="eastAsia"/>
                <w:sz w:val="24"/>
              </w:rPr>
            </w:r>
            <w:r/>
          </w:p>
          <w:p>
            <w:pPr>
              <w:pStyle w:val="1136"/>
              <w:jc w:val="center"/>
              <w:tabs>
                <w:tab w:val="left" w:pos="1080" w:leader="none"/>
              </w:tabs>
              <w:rPr>
                <w:rFonts w:hint="eastAsia" w:eastAsia="宋体"/>
                <w:sz w:val="24"/>
                <w:szCs w:val="24"/>
                <w:lang w:eastAsia="zh-CN"/>
              </w:rPr>
            </w:pPr>
            <w:r>
              <w:rPr>
                <w:rFonts w:hint="eastAsia"/>
                <w:sz w:val="24"/>
              </w:rPr>
              <w:t xml:space="preserve">注2：残疾人福利性单位须按磋商文件要求提供《残疾人福利性单位声明函》。</w:t>
            </w:r>
            <w:r>
              <w:rPr>
                <w:rFonts w:hint="eastAsia" w:eastAsia="宋体"/>
                <w:sz w:val="24"/>
                <w:szCs w:val="24"/>
                <w:lang w:eastAsia="zh-CN"/>
              </w:rPr>
            </w:r>
            <w:r/>
          </w:p>
        </w:tc>
        <w:tc>
          <w:tcPr>
            <w:tcW w:w="1807" w:type="dxa"/>
            <w:vAlign w:val="center"/>
            <w:textDirection w:val="lrTb"/>
            <w:noWrap w:val="false"/>
          </w:tcPr>
          <w:p>
            <w:pPr>
              <w:pStyle w:val="1136"/>
              <w:spacing w:line="360" w:lineRule="auto"/>
              <w:rPr>
                <w:sz w:val="24"/>
                <w:szCs w:val="24"/>
              </w:rPr>
            </w:pPr>
            <w:r>
              <w:rPr>
                <w:sz w:val="24"/>
                <w:szCs w:val="24"/>
              </w:rPr>
            </w:r>
            <w:r/>
          </w:p>
        </w:tc>
      </w:tr>
      <w:tr>
        <w:trPr>
          <w:cantSplit/>
          <w:trHeight w:val="632"/>
        </w:trPr>
        <w:tc>
          <w:tcPr>
            <w:tcW w:w="696" w:type="dxa"/>
            <w:vAlign w:val="center"/>
            <w:textDirection w:val="lrTb"/>
            <w:noWrap w:val="false"/>
          </w:tcPr>
          <w:p>
            <w:pPr>
              <w:pStyle w:val="1136"/>
              <w:tabs>
                <w:tab w:val="left" w:pos="1080" w:leader="none"/>
              </w:tabs>
              <w:rPr>
                <w:sz w:val="24"/>
                <w:szCs w:val="24"/>
              </w:rPr>
            </w:pPr>
            <w:r>
              <w:rPr>
                <w:sz w:val="24"/>
                <w:szCs w:val="24"/>
              </w:rPr>
              <w:t xml:space="preserve">2-2</w:t>
            </w:r>
            <w:r>
              <w:rPr>
                <w:sz w:val="24"/>
                <w:szCs w:val="24"/>
              </w:rPr>
            </w:r>
            <w:r/>
          </w:p>
        </w:tc>
        <w:tc>
          <w:tcPr>
            <w:tcW w:w="1885" w:type="dxa"/>
            <w:vAlign w:val="center"/>
            <w:textDirection w:val="lrTb"/>
            <w:noWrap w:val="false"/>
          </w:tcPr>
          <w:p>
            <w:pPr>
              <w:pStyle w:val="1136"/>
              <w:tabs>
                <w:tab w:val="left" w:pos="1080" w:leader="none"/>
              </w:tabs>
              <w:rPr>
                <w:sz w:val="24"/>
                <w:szCs w:val="24"/>
              </w:rPr>
            </w:pPr>
            <w:r>
              <w:rPr>
                <w:sz w:val="24"/>
                <w:szCs w:val="24"/>
              </w:rPr>
              <w:t xml:space="preserve">拟分包情况说明及分包意向协议（类型一）</w:t>
            </w:r>
            <w:r>
              <w:rPr>
                <w:sz w:val="24"/>
                <w:szCs w:val="24"/>
              </w:rPr>
            </w:r>
            <w:r/>
          </w:p>
        </w:tc>
        <w:tc>
          <w:tcPr>
            <w:tcW w:w="4900" w:type="dxa"/>
            <w:vAlign w:val="center"/>
            <w:textDirection w:val="lrTb"/>
            <w:noWrap w:val="false"/>
          </w:tcPr>
          <w:p>
            <w:pPr>
              <w:pStyle w:val="1136"/>
              <w:jc w:val="center"/>
              <w:tabs>
                <w:tab w:val="left" w:pos="1080" w:leader="none"/>
              </w:tabs>
              <w:rPr>
                <w:b/>
                <w:sz w:val="24"/>
                <w:szCs w:val="24"/>
              </w:rPr>
            </w:pPr>
            <w:r>
              <w:rPr>
                <w:rFonts w:hint="eastAsia"/>
                <w:sz w:val="24"/>
                <w:szCs w:val="24"/>
              </w:rPr>
              <w:t xml:space="preserve">具体要求见第一章《竞争性磋商公告》</w:t>
            </w:r>
            <w:r>
              <w:rPr>
                <w:b/>
                <w:sz w:val="24"/>
                <w:szCs w:val="24"/>
              </w:rPr>
            </w:r>
            <w:r/>
          </w:p>
        </w:tc>
        <w:tc>
          <w:tcPr>
            <w:tcW w:w="1807" w:type="dxa"/>
            <w:vAlign w:val="center"/>
            <w:textDirection w:val="lrTb"/>
            <w:noWrap w:val="false"/>
          </w:tcPr>
          <w:p>
            <w:pPr>
              <w:pStyle w:val="1136"/>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1136"/>
              <w:tabs>
                <w:tab w:val="left" w:pos="1080" w:leader="none"/>
              </w:tabs>
              <w:rPr>
                <w:sz w:val="24"/>
                <w:szCs w:val="24"/>
              </w:rPr>
            </w:pPr>
            <w:r>
              <w:rPr>
                <w:sz w:val="24"/>
                <w:szCs w:val="24"/>
              </w:rPr>
              <w:t xml:space="preserve">2-3</w:t>
            </w:r>
            <w:r>
              <w:rPr>
                <w:sz w:val="24"/>
                <w:szCs w:val="24"/>
              </w:rPr>
            </w:r>
            <w:r/>
          </w:p>
        </w:tc>
        <w:tc>
          <w:tcPr>
            <w:tcW w:w="1885" w:type="dxa"/>
            <w:vAlign w:val="center"/>
            <w:textDirection w:val="lrTb"/>
            <w:noWrap w:val="false"/>
          </w:tcPr>
          <w:p>
            <w:pPr>
              <w:pStyle w:val="1136"/>
              <w:tabs>
                <w:tab w:val="left" w:pos="1080" w:leader="none"/>
              </w:tabs>
              <w:rPr>
                <w:sz w:val="24"/>
                <w:szCs w:val="24"/>
              </w:rPr>
            </w:pPr>
            <w:r>
              <w:rPr>
                <w:sz w:val="24"/>
                <w:szCs w:val="24"/>
              </w:rPr>
              <w:t xml:space="preserve">其它落实政府采购政策的资格要求</w:t>
            </w:r>
            <w:r>
              <w:rPr>
                <w:sz w:val="24"/>
                <w:szCs w:val="24"/>
              </w:rPr>
            </w:r>
            <w:r/>
          </w:p>
        </w:tc>
        <w:tc>
          <w:tcPr>
            <w:tcW w:w="4898" w:type="dxa"/>
            <w:vAlign w:val="center"/>
            <w:textDirection w:val="lrTb"/>
            <w:noWrap w:val="false"/>
          </w:tcPr>
          <w:p>
            <w:pPr>
              <w:pStyle w:val="1136"/>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36"/>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1136"/>
              <w:tabs>
                <w:tab w:val="left" w:pos="1080" w:leader="none"/>
              </w:tabs>
              <w:rPr>
                <w:sz w:val="24"/>
                <w:szCs w:val="24"/>
              </w:rPr>
            </w:pPr>
            <w:r>
              <w:rPr>
                <w:sz w:val="24"/>
                <w:szCs w:val="24"/>
              </w:rPr>
              <w:t xml:space="preserve">3</w:t>
            </w:r>
            <w:r>
              <w:rPr>
                <w:sz w:val="24"/>
                <w:szCs w:val="24"/>
              </w:rPr>
            </w:r>
            <w:r/>
          </w:p>
        </w:tc>
        <w:tc>
          <w:tcPr>
            <w:tcW w:w="1885" w:type="dxa"/>
            <w:vAlign w:val="center"/>
            <w:textDirection w:val="lrTb"/>
            <w:noWrap w:val="false"/>
          </w:tcPr>
          <w:p>
            <w:pPr>
              <w:pStyle w:val="1136"/>
              <w:tabs>
                <w:tab w:val="left" w:pos="1080" w:leader="none"/>
              </w:tabs>
              <w:rPr>
                <w:sz w:val="24"/>
                <w:szCs w:val="24"/>
              </w:rPr>
            </w:pPr>
            <w:r>
              <w:rPr>
                <w:sz w:val="24"/>
                <w:szCs w:val="24"/>
              </w:rPr>
              <w:t xml:space="preserve">本项目的特定资格要求</w:t>
            </w:r>
            <w:r>
              <w:rPr>
                <w:sz w:val="24"/>
                <w:szCs w:val="24"/>
              </w:rPr>
            </w:r>
            <w:r/>
          </w:p>
        </w:tc>
        <w:tc>
          <w:tcPr>
            <w:tcW w:w="4898" w:type="dxa"/>
            <w:vAlign w:val="center"/>
            <w:textDirection w:val="lrTb"/>
            <w:noWrap w:val="false"/>
          </w:tcPr>
          <w:p>
            <w:pPr>
              <w:pStyle w:val="1136"/>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36"/>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1136"/>
              <w:tabs>
                <w:tab w:val="left" w:pos="1080" w:leader="none"/>
              </w:tabs>
              <w:rPr>
                <w:sz w:val="24"/>
                <w:szCs w:val="24"/>
              </w:rPr>
            </w:pPr>
            <w:r>
              <w:rPr>
                <w:sz w:val="24"/>
                <w:szCs w:val="24"/>
              </w:rPr>
              <w:t xml:space="preserve">3-1</w:t>
            </w:r>
            <w:r>
              <w:rPr>
                <w:sz w:val="24"/>
                <w:szCs w:val="24"/>
              </w:rPr>
            </w:r>
            <w:r/>
          </w:p>
        </w:tc>
        <w:tc>
          <w:tcPr>
            <w:tcW w:w="1885" w:type="dxa"/>
            <w:vAlign w:val="center"/>
            <w:textDirection w:val="lrTb"/>
            <w:noWrap w:val="false"/>
          </w:tcPr>
          <w:p>
            <w:pPr>
              <w:pStyle w:val="1136"/>
              <w:tabs>
                <w:tab w:val="left" w:pos="1080" w:leader="none"/>
              </w:tabs>
              <w:rPr>
                <w:sz w:val="24"/>
                <w:szCs w:val="24"/>
              </w:rPr>
            </w:pPr>
            <w:r>
              <w:rPr>
                <w:sz w:val="24"/>
                <w:szCs w:val="24"/>
              </w:rPr>
              <w:t xml:space="preserve">是否接受联合体响应</w:t>
            </w:r>
            <w:r>
              <w:rPr>
                <w:sz w:val="24"/>
                <w:szCs w:val="24"/>
              </w:rPr>
            </w:r>
            <w:r/>
          </w:p>
        </w:tc>
        <w:tc>
          <w:tcPr>
            <w:tcW w:w="4898" w:type="dxa"/>
            <w:vAlign w:val="center"/>
            <w:textDirection w:val="lrTb"/>
            <w:noWrap w:val="false"/>
          </w:tcPr>
          <w:p>
            <w:pPr>
              <w:pStyle w:val="1136"/>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36"/>
              <w:tabs>
                <w:tab w:val="left" w:pos="1080" w:leader="none"/>
              </w:tabs>
              <w:rPr>
                <w:rFonts w:eastAsia="宋体"/>
                <w:sz w:val="24"/>
                <w:szCs w:val="24"/>
                <w:lang w:val="en-US" w:eastAsia="zh-CN"/>
              </w:rPr>
            </w:pPr>
            <w:r>
              <w:rPr>
                <w:rFonts w:eastAsia="宋体"/>
                <w:sz w:val="24"/>
                <w:szCs w:val="24"/>
                <w:lang w:val="en-US" w:eastAsia="zh-CN"/>
              </w:rPr>
            </w:r>
            <w:r/>
          </w:p>
        </w:tc>
      </w:tr>
      <w:tr>
        <w:trPr>
          <w:cantSplit/>
          <w:trHeight w:val="632"/>
        </w:trPr>
        <w:tc>
          <w:tcPr>
            <w:tcW w:w="698" w:type="dxa"/>
            <w:vAlign w:val="center"/>
            <w:textDirection w:val="lrTb"/>
            <w:noWrap w:val="false"/>
          </w:tcPr>
          <w:p>
            <w:pPr>
              <w:pStyle w:val="1136"/>
              <w:tabs>
                <w:tab w:val="left" w:pos="1080" w:leader="none"/>
              </w:tabs>
              <w:rPr>
                <w:sz w:val="24"/>
                <w:szCs w:val="24"/>
              </w:rPr>
            </w:pPr>
            <w:r>
              <w:rPr>
                <w:sz w:val="24"/>
                <w:szCs w:val="24"/>
              </w:rPr>
              <w:t xml:space="preserve">3-2</w:t>
            </w:r>
            <w:r>
              <w:rPr>
                <w:sz w:val="24"/>
                <w:szCs w:val="24"/>
              </w:rPr>
            </w:r>
            <w:r/>
          </w:p>
        </w:tc>
        <w:tc>
          <w:tcPr>
            <w:tcW w:w="1885" w:type="dxa"/>
            <w:vAlign w:val="center"/>
            <w:textDirection w:val="lrTb"/>
            <w:noWrap w:val="false"/>
          </w:tcPr>
          <w:p>
            <w:pPr>
              <w:pStyle w:val="1136"/>
              <w:tabs>
                <w:tab w:val="left" w:pos="1080" w:leader="none"/>
              </w:tabs>
              <w:rPr>
                <w:sz w:val="24"/>
                <w:szCs w:val="24"/>
              </w:rPr>
            </w:pPr>
            <w:r>
              <w:rPr>
                <w:sz w:val="24"/>
                <w:szCs w:val="24"/>
              </w:rPr>
              <w:t xml:space="preserve">其他特定资格要求</w:t>
            </w:r>
            <w:r>
              <w:rPr>
                <w:sz w:val="24"/>
                <w:szCs w:val="24"/>
              </w:rPr>
            </w:r>
            <w:r/>
          </w:p>
        </w:tc>
        <w:tc>
          <w:tcPr>
            <w:tcW w:w="4898" w:type="dxa"/>
            <w:vAlign w:val="center"/>
            <w:textDirection w:val="lrTb"/>
            <w:noWrap w:val="false"/>
          </w:tcPr>
          <w:p>
            <w:pPr>
              <w:pStyle w:val="1136"/>
              <w:jc w:val="center"/>
              <w:tabs>
                <w:tab w:val="left" w:pos="1080" w:leader="none"/>
              </w:tabs>
              <w:rPr>
                <w:rFonts w:hint="eastAsia"/>
                <w:sz w:val="24"/>
                <w:szCs w:val="24"/>
              </w:rPr>
            </w:pPr>
            <w:r>
              <w:rPr>
                <w:rFonts w:hint="eastAsia"/>
                <w:sz w:val="24"/>
                <w:szCs w:val="24"/>
              </w:rPr>
              <w:t xml:space="preserve">具体要求见第一章《竞争性磋商公告》</w:t>
            </w:r>
            <w:r>
              <w:rPr>
                <w:rFonts w:hint="eastAsia"/>
                <w:sz w:val="24"/>
                <w:szCs w:val="24"/>
              </w:rPr>
            </w:r>
            <w:r/>
          </w:p>
        </w:tc>
        <w:tc>
          <w:tcPr>
            <w:tcW w:w="1807" w:type="dxa"/>
            <w:vAlign w:val="center"/>
            <w:textDirection w:val="lrTb"/>
            <w:noWrap w:val="false"/>
          </w:tcPr>
          <w:p>
            <w:pPr>
              <w:pStyle w:val="1136"/>
              <w:tabs>
                <w:tab w:val="left" w:pos="1080" w:leader="none"/>
              </w:tabs>
              <w:rPr>
                <w:rFonts w:hint="eastAsia"/>
                <w:sz w:val="24"/>
                <w:szCs w:val="24"/>
              </w:rPr>
            </w:pPr>
            <w:r>
              <w:rPr>
                <w:rFonts w:hint="eastAsia"/>
                <w:sz w:val="24"/>
                <w:szCs w:val="24"/>
              </w:rPr>
            </w:r>
            <w:r/>
          </w:p>
        </w:tc>
      </w:tr>
    </w:tbl>
    <w:p>
      <w:pPr>
        <w:pStyle w:val="1136"/>
        <w:jc w:val="left"/>
        <w:widowControl/>
        <w:rPr>
          <w:sz w:val="24"/>
        </w:rPr>
      </w:pPr>
      <w:r>
        <w:rPr>
          <w:sz w:val="24"/>
        </w:rPr>
      </w:r>
      <w:r/>
    </w:p>
    <w:p>
      <w:pPr>
        <w:pStyle w:val="1136"/>
        <w:jc w:val="left"/>
        <w:widowControl/>
        <w:rPr>
          <w:sz w:val="24"/>
        </w:rPr>
      </w:pPr>
      <w:r>
        <w:rPr>
          <w:sz w:val="24"/>
        </w:rPr>
        <w:br w:type="page" w:clear="all"/>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136"/>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36"/>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1136"/>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1136"/>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b/>
                <w:bCs/>
                <w:color w:val="000000"/>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b/>
                <w:bCs/>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sz w:val="24"/>
              </w:rPr>
              <w:t xml:space="preserve">提供《分项报价表》。(格式见《投标（响应）文件格式》)</w:t>
            </w:r>
            <w:r>
              <w:rPr>
                <w:rFonts w:hint="eastAsia" w:ascii="宋体" w:hAnsi="宋体" w:cs="宋体"/>
                <w:color w:val="000000"/>
                <w:sz w:val="24"/>
              </w:rPr>
            </w:r>
            <w:r/>
          </w:p>
        </w:tc>
      </w:tr>
      <w:tr>
        <w:trPr>
          <w:trHeight w:val="657"/>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1138"/>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sz w:val="24"/>
                <w:szCs w:val="24"/>
              </w:rPr>
              <w:t xml:space="preserve">响应文件中承诺的响应有效期满足磋商文件中载明的响应有效期的；</w:t>
            </w:r>
            <w:r>
              <w:rPr>
                <w:rFonts w:hint="eastAsia" w:ascii="宋体" w:hAnsi="宋体" w:eastAsia="宋体" w:cs="宋体"/>
                <w:bCs/>
                <w:sz w:val="24"/>
                <w:szCs w:val="24"/>
              </w:rPr>
              <w:t xml:space="preserve">按照《供应商须知资料表》中响应有效期要求提供承诺</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13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13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725" w:type="dxa"/>
            <w:vAlign w:val="center"/>
            <w:textDirection w:val="lrTb"/>
            <w:noWrap w:val="false"/>
          </w:tcPr>
          <w:p>
            <w:pPr>
              <w:pStyle w:val="1136"/>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136"/>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1136"/>
              <w:jc w:val="left"/>
              <w:widowControl/>
              <w:rPr>
                <w:rFonts w:hint="eastAsia" w:ascii="宋体" w:hAnsi="宋体" w:cs="宋体"/>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1136"/>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36"/>
              <w:jc w:val="center"/>
              <w:widowControl/>
              <w:rPr>
                <w:rFonts w:eastAsia="宋体"/>
                <w:b/>
                <w:bCs/>
                <w:color w:val="000000"/>
                <w:sz w:val="24"/>
                <w:highlight w:val="none"/>
                <w:lang w:val="en-US" w:eastAsia="zh-CN"/>
              </w:rPr>
            </w:pPr>
            <w:r>
              <w:rPr>
                <w:rFonts w:hint="eastAsia"/>
                <w:b/>
                <w:bCs/>
                <w:color w:val="000000"/>
                <w:sz w:val="24"/>
                <w:highlight w:val="none"/>
                <w:lang w:val="en-US" w:eastAsia="zh-CN"/>
              </w:rPr>
              <w:t xml:space="preserve">18</w:t>
            </w:r>
            <w:r>
              <w:rPr>
                <w:rFonts w:eastAsia="宋体"/>
                <w:b/>
                <w:bCs/>
                <w:color w:val="000000"/>
                <w:sz w:val="24"/>
                <w:highlight w:val="none"/>
                <w:lang w:val="en-US" w:eastAsia="zh-CN"/>
              </w:rPr>
            </w:r>
            <w:r/>
          </w:p>
        </w:tc>
        <w:tc>
          <w:tcPr>
            <w:tcW w:w="1813" w:type="dxa"/>
            <w:vAlign w:val="center"/>
            <w:textDirection w:val="lrTb"/>
            <w:noWrap w:val="false"/>
          </w:tcPr>
          <w:p>
            <w:pPr>
              <w:pStyle w:val="1136"/>
              <w:jc w:val="left"/>
              <w:widowControl/>
              <w:rPr>
                <w:b/>
                <w:bCs/>
                <w:color w:val="000000"/>
                <w:sz w:val="24"/>
                <w:highlight w:val="none"/>
              </w:rPr>
            </w:pPr>
            <w:r>
              <w:rPr>
                <w:rFonts w:hint="eastAsia" w:ascii="宋体" w:hAnsi="宋体"/>
                <w:b/>
                <w:bCs/>
                <w:sz w:val="24"/>
                <w:highlight w:val="none"/>
              </w:rPr>
              <w:t xml:space="preserve">异常低价审查</w:t>
            </w:r>
            <w:r>
              <w:rPr>
                <w:b/>
                <w:bCs/>
                <w:color w:val="000000"/>
                <w:sz w:val="24"/>
                <w:highlight w:val="none"/>
              </w:rPr>
            </w:r>
            <w:r/>
          </w:p>
        </w:tc>
        <w:tc>
          <w:tcPr>
            <w:tcW w:w="6725" w:type="dxa"/>
            <w:vAlign w:val="center"/>
            <w:textDirection w:val="lrTb"/>
            <w:noWrap w:val="false"/>
          </w:tcPr>
          <w:p>
            <w:pPr>
              <w:pStyle w:val="1136"/>
              <w:jc w:val="left"/>
              <w:widowControl/>
              <w:rPr>
                <w:rFonts w:hint="eastAsia" w:ascii="宋体" w:hAnsi="宋体"/>
                <w:b/>
                <w:bCs/>
                <w:sz w:val="24"/>
                <w:highlight w:val="none"/>
              </w:rPr>
            </w:pPr>
            <w:r>
              <w:rPr>
                <w:rFonts w:hint="eastAsia" w:ascii="宋体" w:hAnsi="宋体"/>
                <w:b/>
                <w:bCs/>
                <w:sz w:val="24"/>
                <w:highlight w:val="none"/>
              </w:rPr>
              <w:t xml:space="preserve">本项目执行苏财购(2025)62号关于推动解决政府采购异常低价问题相关工作的通知，实施政府采购异常低价审查。</w:t>
            </w:r>
            <w:r>
              <w:rPr>
                <w:rFonts w:hint="eastAsia" w:ascii="宋体" w:hAnsi="宋体"/>
                <w:b/>
                <w:bCs/>
                <w:sz w:val="24"/>
                <w:highlight w:val="none"/>
              </w:rPr>
            </w:r>
            <w:r/>
          </w:p>
        </w:tc>
      </w:tr>
    </w:tbl>
    <w:p>
      <w:pPr>
        <w:pStyle w:val="1136"/>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136"/>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rPr>
        <w:t xml:space="preserve">。</w:t>
      </w:r>
      <w:r>
        <w:rPr>
          <w:rFonts w:hint="eastAsia" w:ascii="宋体" w:hAnsi="宋体" w:cs="宋体"/>
          <w:b/>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136"/>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13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136"/>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136"/>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1136"/>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36"/>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136"/>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3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136"/>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136"/>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113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13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136"/>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113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136"/>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136"/>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136"/>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1136"/>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136"/>
        <w:numPr>
          <w:ilvl w:val="1"/>
          <w:numId w:val="11"/>
        </w:numPr>
        <w:ind w:left="1350" w:hanging="720"/>
        <w:spacing w:line="360" w:lineRule="auto"/>
        <w:tabs>
          <w:tab w:val="left" w:pos="1080" w:leader="none"/>
          <w:tab w:val="left" w:pos="1589" w:leader="none"/>
        </w:tabs>
        <w:rPr>
          <w:sz w:val="24"/>
        </w:rPr>
      </w:pPr>
      <w:r>
        <w:rPr>
          <w:sz w:val="24"/>
        </w:rPr>
        <w:t xml:space="preserve">其他：______。</w:t>
      </w:r>
      <w:r>
        <w:rPr>
          <w:sz w:val="24"/>
        </w:rPr>
      </w:r>
      <w:r/>
    </w:p>
    <w:p>
      <w:pPr>
        <w:pStyle w:val="1136"/>
        <w:numPr>
          <w:ilvl w:val="0"/>
          <w:numId w:val="11"/>
        </w:numPr>
        <w:spacing w:line="360" w:lineRule="auto"/>
        <w:tabs>
          <w:tab w:val="left" w:pos="360" w:leader="none"/>
          <w:tab w:val="left" w:pos="900" w:leader="none"/>
        </w:tabs>
        <w:rPr>
          <w:sz w:val="24"/>
        </w:rPr>
        <w:outlineLvl w:val="1"/>
      </w:pPr>
      <w:r/>
      <w:bookmarkEnd w:id="615"/>
      <w:r/>
      <w:bookmarkEnd w:id="616"/>
      <w:r>
        <w:rPr>
          <w:sz w:val="24"/>
        </w:rPr>
        <w:t xml:space="preserve">评审方法和评审标准</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1136"/>
        <w:numPr>
          <w:ilvl w:val="0"/>
          <w:numId w:val="11"/>
        </w:numPr>
        <w:spacing w:line="360" w:lineRule="auto"/>
        <w:tabs>
          <w:tab w:val="left" w:pos="360" w:leader="none"/>
          <w:tab w:val="left" w:pos="900" w:leader="none"/>
        </w:tabs>
        <w:rPr>
          <w:sz w:val="24"/>
        </w:rPr>
        <w:outlineLvl w:val="1"/>
      </w:pPr>
      <w:r>
        <w:rPr>
          <w:sz w:val="24"/>
        </w:rPr>
        <w:t xml:space="preserve">确定</w:t>
      </w:r>
      <w:bookmarkStart w:id="631" w:name="_Toc164608660"/>
      <w:r/>
      <w:bookmarkStart w:id="632" w:name="_Toc151193934"/>
      <w:r/>
      <w:bookmarkStart w:id="633" w:name="_Toc150480784"/>
      <w:r/>
      <w:bookmarkStart w:id="634" w:name="_Toc520356170"/>
      <w:r/>
      <w:bookmarkStart w:id="635" w:name="_Toc149720839"/>
      <w:r/>
      <w:bookmarkStart w:id="636" w:name="_Toc150774751"/>
      <w:r/>
      <w:bookmarkStart w:id="637" w:name="_Toc151190173"/>
      <w:r/>
      <w:bookmarkStart w:id="638" w:name="_Toc226337242"/>
      <w:r/>
      <w:bookmarkStart w:id="639" w:name="_Toc195842911"/>
      <w:r/>
      <w:bookmarkStart w:id="640" w:name="_Toc305158814"/>
      <w:r/>
      <w:bookmarkStart w:id="641" w:name="_Toc142311048"/>
      <w:r/>
      <w:bookmarkStart w:id="642" w:name="_Toc127151747"/>
      <w:r/>
      <w:bookmarkStart w:id="643" w:name="_Toc151193860"/>
      <w:r/>
      <w:bookmarkStart w:id="644" w:name="_Toc151193716"/>
      <w:r/>
      <w:bookmarkStart w:id="645" w:name="_Toc264969236"/>
      <w:r/>
      <w:bookmarkStart w:id="646" w:name="_Toc164351640"/>
      <w:r/>
      <w:bookmarkStart w:id="647" w:name="_Toc151193788"/>
      <w:r/>
      <w:bookmarkStart w:id="648" w:name="_Toc226965736"/>
      <w:r/>
      <w:bookmarkStart w:id="649" w:name="_Toc150509297"/>
      <w:r/>
      <w:bookmarkStart w:id="650" w:name="_Toc127161460"/>
      <w:r/>
      <w:bookmarkStart w:id="651" w:name="_Toc164229387"/>
      <w:r/>
      <w:bookmarkStart w:id="652" w:name="_Ref467307010"/>
      <w:r/>
      <w:bookmarkStart w:id="653" w:name="_Toc226965819"/>
      <w:r/>
      <w:bookmarkStart w:id="654" w:name="_Toc164608815"/>
      <w:r/>
      <w:bookmarkStart w:id="655" w:name="_Toc226309790"/>
      <w:r/>
      <w:bookmarkStart w:id="656" w:name="_Toc265228384"/>
      <w:r/>
      <w:bookmarkStart w:id="657" w:name="_Toc151193644"/>
      <w:r/>
      <w:bookmarkStart w:id="658" w:name="_Toc164229241"/>
      <w:r/>
      <w:bookmarkStart w:id="659" w:name="_Toc305158888"/>
      <w:r/>
      <w:bookmarkStart w:id="660" w:name="_Toc150774646"/>
      <w:r/>
      <w:bookmarkStart w:id="661" w:name="_Toc127151546"/>
      <w:r>
        <w:rPr>
          <w:sz w:val="24"/>
        </w:rPr>
        <w:t xml:space="preserve">成交候选人名单</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136"/>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136"/>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136"/>
        <w:numPr>
          <w:ilvl w:val="1"/>
          <w:numId w:val="11"/>
        </w:numPr>
        <w:ind w:left="1350"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rPr>
          <w:b/>
          <w:sz w:val="24"/>
        </w:rPr>
      </w:r>
      <w:r/>
    </w:p>
    <w:p>
      <w:pPr>
        <w:pStyle w:val="1138"/>
        <w:numPr>
          <w:ilvl w:val="0"/>
          <w:numId w:val="12"/>
        </w:numPr>
        <w:spacing w:before="0" w:line="360" w:lineRule="auto"/>
        <w:rPr>
          <w:rFonts w:ascii="Times New Roman" w:hAnsi="Times New Roman" w:eastAsia="宋体"/>
          <w:sz w:val="24"/>
          <w:szCs w:val="24"/>
          <w:highlight w:val="none"/>
        </w:rPr>
      </w:pPr>
      <w:r/>
      <w:bookmarkEnd w:id="614"/>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62" w:name="_Toc104818929"/>
      <w:r/>
      <w:bookmarkStart w:id="663" w:name="_Toc12649"/>
      <w:r>
        <w:rPr>
          <w:rFonts w:ascii="Times New Roman" w:hAnsi="Times New Roman" w:eastAsia="宋体"/>
          <w:sz w:val="24"/>
          <w:szCs w:val="24"/>
          <w:highlight w:val="none"/>
        </w:rPr>
        <w:t xml:space="preserve">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rFonts w:ascii="Times New Roman" w:hAnsi="Times New Roman" w:eastAsia="宋体"/>
          <w:sz w:val="24"/>
          <w:szCs w:val="24"/>
          <w:highlight w:val="none"/>
        </w:rPr>
      </w:r>
      <w:r/>
    </w:p>
    <w:tbl>
      <w:tblPr>
        <w:tblW w:w="5495" w:type="pct"/>
        <w:tblInd w:w="-10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996"/>
        <w:gridCol w:w="778"/>
        <w:gridCol w:w="5434"/>
        <w:gridCol w:w="2287"/>
      </w:tblGrid>
      <w:tr>
        <w:trPr/>
        <w:tc>
          <w:tcPr>
            <w:tcW w:w="349" w:type="dxa"/>
            <w:vAlign w:val="center"/>
            <w:textDirection w:val="lrTb"/>
            <w:noWrap w:val="false"/>
          </w:tcPr>
          <w:p>
            <w:pPr>
              <w:pStyle w:val="11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487" w:type="dxa"/>
            <w:vAlign w:val="center"/>
            <w:textDirection w:val="lrTb"/>
            <w:noWrap w:val="false"/>
          </w:tcPr>
          <w:p>
            <w:pPr>
              <w:pStyle w:val="11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w:t>
            </w:r>
            <w:r>
              <w:rPr>
                <w:rFonts w:hint="eastAsia" w:ascii="宋体" w:hAnsi="宋体" w:eastAsia="宋体" w:cs="宋体"/>
                <w:b/>
                <w:sz w:val="24"/>
                <w:szCs w:val="24"/>
              </w:rPr>
            </w:r>
            <w:r/>
          </w:p>
          <w:p>
            <w:pPr>
              <w:pStyle w:val="11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因素</w:t>
            </w:r>
            <w:r>
              <w:rPr>
                <w:rFonts w:hint="eastAsia" w:ascii="宋体" w:hAnsi="宋体" w:eastAsia="宋体" w:cs="宋体"/>
                <w:b/>
                <w:sz w:val="24"/>
                <w:szCs w:val="24"/>
              </w:rPr>
            </w:r>
            <w:r/>
          </w:p>
        </w:tc>
        <w:tc>
          <w:tcPr>
            <w:tcW w:w="381" w:type="dxa"/>
            <w:vAlign w:val="center"/>
            <w:textDirection w:val="lrTb"/>
            <w:noWrap w:val="false"/>
          </w:tcPr>
          <w:p>
            <w:pPr>
              <w:pStyle w:val="11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2661" w:type="dxa"/>
            <w:vAlign w:val="center"/>
            <w:textDirection w:val="lrTb"/>
            <w:noWrap w:val="false"/>
          </w:tcPr>
          <w:p>
            <w:pPr>
              <w:pStyle w:val="11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120" w:type="dxa"/>
            <w:vAlign w:val="center"/>
            <w:textDirection w:val="lrTb"/>
            <w:noWrap w:val="false"/>
          </w:tcPr>
          <w:p>
            <w:pPr>
              <w:pStyle w:val="1136"/>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评审材料</w:t>
            </w:r>
            <w:r>
              <w:rPr>
                <w:rFonts w:hint="eastAsia" w:ascii="宋体" w:hAnsi="宋体" w:eastAsia="宋体" w:cs="宋体"/>
                <w:b/>
                <w:sz w:val="24"/>
                <w:szCs w:val="24"/>
              </w:rPr>
            </w:r>
            <w:r/>
          </w:p>
        </w:tc>
      </w:tr>
      <w:tr>
        <w:trPr>
          <w:trHeight w:val="2108"/>
        </w:trPr>
        <w:tc>
          <w:tcPr>
            <w:tcW w:w="349" w:type="dxa"/>
            <w:vAlign w:val="center"/>
            <w:textDirection w:val="lrTb"/>
            <w:noWrap w:val="false"/>
          </w:tcPr>
          <w:p>
            <w:pPr>
              <w:pStyle w:val="1136"/>
              <w:ind w:firstLine="28"/>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价格分</w:t>
            </w:r>
            <w:r>
              <w:rPr>
                <w:rFonts w:hint="eastAsia" w:ascii="宋体" w:hAnsi="宋体" w:eastAsia="宋体" w:cs="宋体"/>
                <w:sz w:val="24"/>
                <w:szCs w:val="24"/>
                <w:lang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cs="宋体"/>
                <w:sz w:val="24"/>
              </w:rPr>
            </w:pPr>
            <w:r>
              <w:rPr>
                <w:rFonts w:hint="eastAsia" w:ascii="宋体" w:hAnsi="宋体" w:cs="宋体"/>
                <w:sz w:val="24"/>
              </w:rPr>
              <w:t xml:space="preserve">满足磋商文件要求且最终报价最低的报价为评标基准价，其价格分为满分。其他供应商的价格分统一按照下列公式计算：</w:t>
            </w:r>
            <w:r>
              <w:rPr>
                <w:rFonts w:hint="eastAsia" w:ascii="宋体" w:hAnsi="宋体" w:cs="宋体"/>
                <w:sz w:val="24"/>
              </w:rPr>
            </w:r>
            <w:r/>
          </w:p>
          <w:p>
            <w:pPr>
              <w:pStyle w:val="1136"/>
              <w:ind w:firstLine="28"/>
              <w:jc w:val="left"/>
              <w:rPr>
                <w:rFonts w:hint="eastAsia" w:ascii="宋体" w:hAnsi="宋体" w:eastAsia="宋体" w:cs="宋体"/>
                <w:sz w:val="24"/>
                <w:szCs w:val="24"/>
              </w:rPr>
            </w:pPr>
            <w:r>
              <w:rPr>
                <w:rFonts w:hint="eastAsia" w:ascii="宋体" w:hAnsi="宋体" w:cs="宋体"/>
                <w:sz w:val="24"/>
              </w:rPr>
              <w:t xml:space="preserve">价格分得分＝（评标基准价/最终报价）×分值。</w:t>
            </w:r>
            <w:r>
              <w:rPr>
                <w:rFonts w:hint="eastAsia" w:ascii="宋体" w:hAnsi="宋体" w:eastAsia="宋体" w:cs="宋体"/>
                <w:sz w:val="24"/>
                <w:szCs w:val="24"/>
              </w:rPr>
            </w:r>
            <w:r/>
          </w:p>
        </w:tc>
        <w:tc>
          <w:tcPr>
            <w:tcW w:w="1120" w:type="dxa"/>
            <w:vAlign w:val="center"/>
            <w:textDirection w:val="lrTb"/>
            <w:noWrap w:val="false"/>
          </w:tcPr>
          <w:p>
            <w:pPr>
              <w:pStyle w:val="1136"/>
              <w:ind w:firstLine="28"/>
              <w:jc w:val="left"/>
              <w:rPr>
                <w:rFonts w:hint="eastAsia" w:ascii="宋体" w:hAnsi="宋体" w:eastAsia="宋体" w:cs="宋体"/>
                <w:sz w:val="24"/>
                <w:szCs w:val="24"/>
              </w:rPr>
            </w:pPr>
            <w:r>
              <w:rPr>
                <w:rFonts w:hint="eastAsia" w:ascii="宋体" w:hAnsi="宋体" w:cs="宋体"/>
                <w:sz w:val="24"/>
              </w:rPr>
              <w:t xml:space="preserve">此处最终报价指经过报价修正，及因落实政府采购政策进行价格调整后的最终报价，详见《评标方法和评标标准》。</w:t>
            </w:r>
            <w:r>
              <w:rPr>
                <w:rFonts w:hint="eastAsia" w:ascii="宋体" w:hAnsi="宋体" w:eastAsia="宋体" w:cs="宋体"/>
                <w:sz w:val="24"/>
                <w:szCs w:val="24"/>
              </w:rPr>
            </w:r>
            <w:r/>
          </w:p>
        </w:tc>
      </w:tr>
      <w:tr>
        <w:trPr>
          <w:trHeight w:val="618"/>
        </w:trPr>
        <w:tc>
          <w:tcPr>
            <w:tcW w:w="349" w:type="dxa"/>
            <w:vAlign w:val="center"/>
            <w:textDirection w:val="lrTb"/>
            <w:noWrap w:val="false"/>
          </w:tcPr>
          <w:p>
            <w:pPr>
              <w:pStyle w:val="1136"/>
              <w:ind w:firstLine="28"/>
              <w:jc w:val="center"/>
              <w:rPr>
                <w:rFonts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w:t>
            </w:r>
            <w:r>
              <w:rPr>
                <w:rFonts w:ascii="宋体" w:hAnsi="宋体" w:eastAsia="宋体" w:cs="宋体"/>
                <w:b/>
                <w:sz w:val="24"/>
                <w:szCs w:val="24"/>
                <w:lang w:val="en-US" w:eastAsia="zh-CN"/>
              </w:rPr>
            </w:r>
            <w:r/>
          </w:p>
        </w:tc>
        <w:tc>
          <w:tcPr>
            <w:tcW w:w="487"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60</w:t>
            </w:r>
            <w:r>
              <w:rPr>
                <w:rFonts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eastAsia="宋体" w:cs="宋体"/>
                <w:sz w:val="24"/>
              </w:rPr>
            </w:pPr>
            <w:r>
              <w:rPr>
                <w:rFonts w:hint="eastAsia" w:ascii="宋体" w:hAnsi="宋体" w:eastAsia="宋体" w:cs="宋体"/>
                <w:sz w:val="24"/>
              </w:rPr>
            </w:r>
            <w:r/>
          </w:p>
        </w:tc>
        <w:tc>
          <w:tcPr>
            <w:tcW w:w="1120" w:type="dxa"/>
            <w:vAlign w:val="center"/>
            <w:textDirection w:val="lrTb"/>
            <w:noWrap w:val="false"/>
          </w:tcPr>
          <w:p>
            <w:pPr>
              <w:pStyle w:val="1136"/>
              <w:ind w:firstLine="28"/>
              <w:jc w:val="left"/>
              <w:rPr>
                <w:rFonts w:hint="eastAsia" w:ascii="宋体" w:hAnsi="宋体" w:cs="宋体"/>
                <w:sz w:val="24"/>
              </w:rPr>
            </w:pPr>
            <w:r>
              <w:rPr>
                <w:rFonts w:hint="eastAsia" w:ascii="宋体" w:hAnsi="宋体" w:cs="宋体"/>
                <w:sz w:val="24"/>
              </w:rPr>
            </w:r>
            <w:r/>
          </w:p>
        </w:tc>
      </w:tr>
      <w:tr>
        <w:trPr>
          <w:trHeight w:val="631"/>
        </w:trPr>
        <w:tc>
          <w:tcPr>
            <w:tcW w:w="349"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组织制度、 岗位职责 方案</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根据供应商针对本项目提供的组织制度、岗位职责等内容进行综合评分：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1.制度健全完整、岗位职责合理，可实施性强，得8分；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2.制度较完整，岗位职责较合理，可实施性较强，得6分；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3.制度基本完整，岗位职责基本合理，可实施性有少许欠缺，得4分；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4.制度不全，岗位职责不合理，可实施性欠缺过多，得2分；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5.未提供不得分。</w:t>
            </w:r>
            <w:r>
              <w:rPr>
                <w:rFonts w:hint="eastAsia" w:ascii="宋体" w:hAnsi="宋体" w:eastAsia="宋体" w:cs="宋体"/>
                <w:sz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val="en-US" w:eastAsia="zh-CN"/>
              </w:rPr>
            </w:r>
            <w:r/>
          </w:p>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根据供应商提供的针对本项目的服务方案，从服务响应、运输条件、服务方案、服务承诺等方面综合评分：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1.能最大程度满足用户需求，方案详细，具有可操作性，得10分；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2.可较大程度保证用户需求，方案详细、可操作性较强，得7分；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3.基本保证用户需求，可操作性有少许欠缺，得4 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4.有方案，但无可操作性，可行性欠缺过多，得 1分；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5.未提供不得分。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自有场地设施</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根据供应商提供的拟投入场地（如配送区、仓储区、冷藏设施等）等相关证明材料综合评分：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1.拟投入场地功能布局完整合理，拟投入设备设 施齐全，得6分；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2.拟投入场地功能布局较完整合理，拟投入设备设施较齐全，得4分；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3.拟投入场地功能布局较混乱，拟投入设备设施较少，得2分；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4.未提供不得分。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卫生管理控制</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根据供应商提供的卫生管理控制方案（食品卫生，人员卫生，环境卫生等）综合评分：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1.实施方案详尽、精细，科学合理，操作性强的，得8分；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2.实施方案较为全面，较详细合理、规范科学的，得 6分；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3.实施方案简单，操作性有欠缺的，得4分；</w:t>
            </w:r>
            <w:r>
              <w:rPr>
                <w:rFonts w:hint="eastAsia" w:ascii="宋体" w:hAnsi="宋体" w:eastAsia="宋体" w:cs="宋体"/>
                <w:sz w:val="24"/>
                <w:lang w:val="en-US" w:eastAsia="zh-CN"/>
              </w:rPr>
            </w:r>
            <w:r/>
          </w:p>
          <w:p>
            <w:pPr>
              <w:pStyle w:val="1136"/>
              <w:spacing w:line="400" w:lineRule="exact"/>
              <w:rPr>
                <w:rFonts w:ascii="宋体" w:hAnsi="宋体" w:eastAsia="宋体" w:cs="宋体"/>
                <w:sz w:val="24"/>
                <w:lang w:val="en-US" w:eastAsia="zh-CN"/>
              </w:rPr>
            </w:pPr>
            <w:r>
              <w:rPr>
                <w:rFonts w:hint="eastAsia" w:ascii="宋体" w:hAnsi="宋体" w:eastAsia="宋体" w:cs="宋体"/>
                <w:sz w:val="24"/>
                <w:lang w:val="en-US" w:eastAsia="zh-CN"/>
              </w:rPr>
              <w:t xml:space="preserve">4.实施方案内容粗糙，操作性差，得2分；</w:t>
            </w:r>
            <w:r>
              <w:rPr>
                <w:rFonts w:ascii="宋体" w:hAnsi="宋体" w:eastAsia="宋体" w:cs="宋体"/>
                <w:sz w:val="24"/>
                <w:lang w:val="en-US" w:eastAsia="zh-CN"/>
              </w:rPr>
            </w:r>
            <w:r/>
          </w:p>
          <w:p>
            <w:pPr>
              <w:pStyle w:val="1136"/>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5.未提供不得分。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溯源管理方案</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根据供应商针对本项目的项目特性，按照采购内容提供有针对性的溯源管理方案综合评分：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1.实施方案详尽、精细，科学合理，操作性强的，得6分；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2.实施方案较为全面，较详细合理、规范科学的，得4分；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3.实施方案简单，操作性有欠缺的，得2分；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4.未提供不得分。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质量控制方案</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根据供应商针对本项目的项目特性，按照采购内容提供有针对性的产品质量控制方案综合打分：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1.实施方案详尽、精细，科学合理，操作性强的，得8分；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2.实施方案较为全面，较详细合理、规范科学的，得6分；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3.实施方案简单，操作性有欠缺的，得4分；</w:t>
            </w:r>
            <w:r>
              <w:rPr>
                <w:rFonts w:hint="eastAsia" w:ascii="宋体" w:hAnsi="宋体" w:eastAsia="宋体" w:cs="宋体"/>
                <w:sz w:val="24"/>
                <w:lang w:val="en-US" w:eastAsia="zh-CN"/>
              </w:rPr>
            </w:r>
            <w:r/>
          </w:p>
          <w:p>
            <w:pPr>
              <w:pStyle w:val="1136"/>
              <w:spacing w:line="400" w:lineRule="exact"/>
              <w:rPr>
                <w:rFonts w:ascii="宋体" w:hAnsi="宋体" w:eastAsia="宋体" w:cs="宋体"/>
                <w:sz w:val="24"/>
                <w:lang w:val="en-US" w:eastAsia="zh-CN"/>
              </w:rPr>
            </w:pPr>
            <w:r>
              <w:rPr>
                <w:rFonts w:hint="eastAsia" w:ascii="宋体" w:hAnsi="宋体" w:eastAsia="宋体" w:cs="宋体"/>
                <w:sz w:val="24"/>
                <w:lang w:val="en-US" w:eastAsia="zh-CN"/>
              </w:rPr>
              <w:t xml:space="preserve">4.实施方案粗糙，操作性差，得2分；</w:t>
            </w:r>
            <w:r>
              <w:rPr>
                <w:rFonts w:ascii="宋体" w:hAnsi="宋体" w:eastAsia="宋体" w:cs="宋体"/>
                <w:sz w:val="24"/>
                <w:lang w:val="en-US" w:eastAsia="zh-CN"/>
              </w:rPr>
            </w:r>
            <w:r/>
          </w:p>
          <w:p>
            <w:pPr>
              <w:pStyle w:val="1136"/>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5.未提供不得分。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食材配送及运输保 障措施比较</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根据供应商提供的针对本项目的配送及运输</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保障综合评分：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1.方案详细，预案考虑周全、切实可行，有合理化建议等得8分；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2.方案较为详细，预案考虑较为周全、可操作性，能满足项目实施需要的得6分；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3.方案简单，可操作性欠缺，得4分；</w:t>
            </w:r>
            <w:r>
              <w:rPr>
                <w:rFonts w:hint="eastAsia" w:ascii="宋体" w:hAnsi="宋体" w:eastAsia="宋体" w:cs="宋体"/>
                <w:sz w:val="24"/>
                <w:lang w:val="en-US" w:eastAsia="zh-CN"/>
              </w:rPr>
            </w:r>
            <w:r/>
          </w:p>
          <w:p>
            <w:pPr>
              <w:pStyle w:val="1136"/>
              <w:spacing w:line="400" w:lineRule="exact"/>
              <w:rPr>
                <w:rFonts w:ascii="宋体" w:hAnsi="宋体" w:eastAsia="宋体" w:cs="宋体"/>
                <w:sz w:val="24"/>
                <w:lang w:val="en-US" w:eastAsia="zh-CN"/>
              </w:rPr>
            </w:pPr>
            <w:r>
              <w:rPr>
                <w:rFonts w:hint="eastAsia" w:ascii="宋体" w:hAnsi="宋体" w:eastAsia="宋体" w:cs="宋体"/>
                <w:sz w:val="24"/>
                <w:lang w:val="en-US" w:eastAsia="zh-CN"/>
              </w:rPr>
              <w:t xml:space="preserve">4.方案粗糙，可操作性差，得2分；</w:t>
            </w:r>
            <w:r>
              <w:rPr>
                <w:rFonts w:ascii="宋体" w:hAnsi="宋体" w:eastAsia="宋体" w:cs="宋体"/>
                <w:sz w:val="24"/>
                <w:lang w:val="en-US" w:eastAsia="zh-CN"/>
              </w:rPr>
            </w:r>
            <w:r/>
          </w:p>
          <w:p>
            <w:pPr>
              <w:pStyle w:val="1136"/>
              <w:spacing w:line="400" w:lineRule="exact"/>
              <w:rPr>
                <w:lang w:val="en-US" w:eastAsia="zh-CN"/>
              </w:rPr>
            </w:pPr>
            <w:r>
              <w:rPr>
                <w:rFonts w:hint="eastAsia" w:ascii="宋体" w:hAnsi="宋体" w:eastAsia="宋体" w:cs="宋体"/>
                <w:sz w:val="24"/>
                <w:lang w:val="en-US" w:eastAsia="zh-CN"/>
              </w:rPr>
              <w:t xml:space="preserve">5.未提供不得分。</w:t>
            </w:r>
            <w:r>
              <w:rPr>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r>
            <w:r/>
          </w:p>
        </w:tc>
        <w:tc>
          <w:tcPr>
            <w:tcW w:w="2661" w:type="dxa"/>
            <w:vAlign w:val="center"/>
            <w:textDirection w:val="lrTb"/>
            <w:noWrap w:val="false"/>
          </w:tcPr>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根据供应商应急服务能力：遇到突发事件（如公共卫生等）综合评分：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1.应急措施方案完善、程序规范、操作性强的， 得 6分；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2.应急措施方案较完善、程序较为规范、操作性较强的，得4分； </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3.应急措施方案简单、程序基本规范、操作性可行性有欠缺的，得2分；</w:t>
            </w:r>
            <w:r>
              <w:rPr>
                <w:rFonts w:hint="eastAsia" w:ascii="宋体" w:hAnsi="宋体" w:eastAsia="宋体" w:cs="宋体"/>
                <w:sz w:val="24"/>
                <w:lang w:val="en-US" w:eastAsia="zh-CN"/>
              </w:rPr>
            </w:r>
            <w:r/>
          </w:p>
          <w:p>
            <w:pPr>
              <w:pStyle w:val="1136"/>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4.未提供不得分。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2661"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rPr>
                <w:rFonts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ascii="宋体" w:hAnsi="宋体" w:eastAsia="宋体" w:cs="宋体"/>
                <w:sz w:val="24"/>
                <w:szCs w:val="24"/>
                <w:lang w:val="en-US" w:eastAsia="zh-CN"/>
              </w:rPr>
            </w:r>
            <w:r/>
          </w:p>
        </w:tc>
        <w:tc>
          <w:tcPr>
            <w:tcW w:w="2661" w:type="dxa"/>
            <w:vAlign w:val="center"/>
            <w:textDirection w:val="lrTb"/>
            <w:noWrap w:val="false"/>
          </w:tcPr>
          <w:p>
            <w:pPr>
              <w:pStyle w:val="1136"/>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供应商自 2022年 1 月 1 日（以合同签订时间 为准）以来，有类似项目业绩的，每提供 1 份得1 分，本项最高得5分。</w:t>
            </w:r>
            <w:r>
              <w:rPr>
                <w:rFonts w:hint="eastAsia" w:ascii="宋体" w:hAnsi="宋体" w:eastAsia="宋体" w:cs="宋体"/>
                <w:sz w:val="24"/>
                <w:szCs w:val="24"/>
                <w:lang w:val="en-US" w:eastAsia="zh-CN"/>
              </w:rPr>
            </w:r>
            <w:r/>
          </w:p>
          <w:p>
            <w:pPr>
              <w:pStyle w:val="1136"/>
              <w:ind w:firstLine="28"/>
              <w:jc w:val="left"/>
              <w:rPr>
                <w:rFonts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注：如提供多份不同时期为同一采购人供货配送业绩的，仅按一份业绩计算。响应文件中提供合同复印件并加盖供应商公章。</w:t>
            </w:r>
            <w:r>
              <w:rPr>
                <w:rFonts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配送</w:t>
            </w:r>
            <w:r>
              <w:rPr>
                <w:rFonts w:hint="eastAsia" w:ascii="宋体" w:hAnsi="宋体" w:eastAsia="宋体" w:cs="宋体"/>
                <w:sz w:val="24"/>
                <w:szCs w:val="24"/>
                <w:lang w:val="en-US" w:eastAsia="zh-CN"/>
              </w:rPr>
            </w:r>
            <w:r/>
          </w:p>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车辆</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c>
          <w:tcPr>
            <w:tcW w:w="2661" w:type="dxa"/>
            <w:vAlign w:val="center"/>
            <w:textDirection w:val="lrTb"/>
            <w:noWrap w:val="false"/>
          </w:tcPr>
          <w:p>
            <w:pPr>
              <w:pStyle w:val="1136"/>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供应商为本项目投入的运输车辆中每自有 1 辆冷藏车得2分。本项最高4分。</w:t>
            </w:r>
            <w:r>
              <w:rPr>
                <w:rFonts w:hint="eastAsia" w:ascii="宋体" w:hAnsi="宋体" w:eastAsia="宋体" w:cs="宋体"/>
                <w:sz w:val="24"/>
                <w:szCs w:val="24"/>
                <w:lang w:val="en-US" w:eastAsia="zh-CN"/>
              </w:rPr>
            </w:r>
            <w:r/>
          </w:p>
          <w:p>
            <w:pPr>
              <w:pStyle w:val="1136"/>
              <w:ind w:firstLine="28"/>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注：响应文件中应提供：自有的须提供行驶证（行驶证是供应商名称登记的车辆）复印件并加盖公章；租赁的须提供有效期内的租赁协议复印件并加盖公章。不提供材料不得分。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r>
            <w:r/>
          </w:p>
        </w:tc>
        <w:tc>
          <w:tcPr>
            <w:tcW w:w="2661" w:type="dxa"/>
            <w:vAlign w:val="center"/>
            <w:textDirection w:val="lrTb"/>
            <w:noWrap w:val="false"/>
          </w:tcPr>
          <w:p>
            <w:pPr>
              <w:pStyle w:val="1136"/>
              <w:ind w:firstLine="28"/>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投标人拟派的项目负责人有一年以上食品行业经验，得2分。</w:t>
            </w:r>
            <w:r>
              <w:rPr>
                <w:rFonts w:ascii="宋体" w:hAnsi="宋体" w:eastAsia="宋体" w:cs="宋体"/>
                <w:sz w:val="24"/>
                <w:szCs w:val="24"/>
                <w:lang w:val="en-US" w:eastAsia="zh-CN"/>
              </w:rPr>
            </w:r>
            <w:r/>
          </w:p>
          <w:p>
            <w:pPr>
              <w:pStyle w:val="1136"/>
              <w:ind w:firstLine="28"/>
              <w:jc w:val="left"/>
              <w:rPr>
                <w:rFonts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注：响应文件中提供行业经验相关证明材料并加盖公章。</w:t>
            </w:r>
            <w:r>
              <w:rPr>
                <w:rFonts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项目其他服务人员</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r>
            <w:r/>
          </w:p>
        </w:tc>
        <w:tc>
          <w:tcPr>
            <w:tcW w:w="2661" w:type="dxa"/>
            <w:vAlign w:val="center"/>
            <w:textDirection w:val="lrTb"/>
            <w:noWrap w:val="false"/>
          </w:tcPr>
          <w:p>
            <w:pPr>
              <w:pStyle w:val="1136"/>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项目配备服务人员： </w:t>
            </w:r>
            <w:r>
              <w:rPr>
                <w:rFonts w:hint="eastAsia" w:ascii="宋体" w:hAnsi="宋体" w:eastAsia="宋体" w:cs="宋体"/>
                <w:sz w:val="24"/>
                <w:szCs w:val="24"/>
                <w:lang w:val="en-US" w:eastAsia="zh-CN"/>
              </w:rPr>
            </w:r>
            <w:r/>
          </w:p>
          <w:p>
            <w:pPr>
              <w:pStyle w:val="1136"/>
              <w:numPr>
                <w:ilvl w:val="0"/>
                <w:numId w:val="13"/>
              </w:numPr>
              <w:ind w:firstLine="28"/>
              <w:jc w:val="left"/>
              <w:tabs>
                <w:tab w:val="left" w:pos="312"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供应商配置食品安全管理员，得 2 分。</w:t>
            </w:r>
            <w:r>
              <w:rPr>
                <w:rFonts w:hint="eastAsia" w:ascii="宋体" w:hAnsi="宋体" w:eastAsia="宋体" w:cs="宋体"/>
                <w:sz w:val="24"/>
                <w:szCs w:val="24"/>
                <w:lang w:val="en-US" w:eastAsia="zh-CN"/>
              </w:rPr>
            </w:r>
            <w:r/>
          </w:p>
          <w:p>
            <w:pPr>
              <w:pStyle w:val="1136"/>
              <w:numPr>
                <w:ilvl w:val="0"/>
                <w:numId w:val="13"/>
              </w:numPr>
              <w:ind w:left="0" w:firstLine="28"/>
              <w:jc w:val="left"/>
              <w:tabs>
                <w:tab w:val="left" w:pos="312"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供应商配置农产品食品检验员，得 2 分。 </w:t>
            </w:r>
            <w:r>
              <w:rPr>
                <w:rFonts w:hint="eastAsia" w:ascii="宋体" w:hAnsi="宋体" w:eastAsia="宋体" w:cs="宋体"/>
                <w:sz w:val="24"/>
                <w:szCs w:val="24"/>
                <w:lang w:val="en-US" w:eastAsia="zh-CN"/>
              </w:rPr>
            </w:r>
            <w:r/>
          </w:p>
          <w:p>
            <w:pPr>
              <w:pStyle w:val="1136"/>
              <w:numPr>
                <w:ilvl w:val="0"/>
                <w:numId w:val="13"/>
              </w:numPr>
              <w:ind w:left="0"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针对本项目配备专业的配送服务人员，从事食材配送工作一年及以上且在本公司工作满 6 个月及以上的，同时须持有江苏省从业人员预防性检查合格证（健康证），每有 1 人得 2 分，最高得 4分。</w:t>
            </w:r>
            <w:r>
              <w:rPr>
                <w:rFonts w:hint="eastAsia" w:ascii="宋体" w:hAnsi="宋体" w:eastAsia="宋体" w:cs="宋体"/>
                <w:sz w:val="24"/>
                <w:szCs w:val="24"/>
                <w:lang w:val="en-US" w:eastAsia="zh-CN"/>
              </w:rPr>
            </w:r>
            <w:r/>
          </w:p>
          <w:p>
            <w:pPr>
              <w:pStyle w:val="1136"/>
              <w:numPr>
                <w:ilvl w:val="0"/>
                <w:numId w:val="0"/>
              </w:numPr>
              <w:ind w:left="28"/>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注：响应文件中提供人员简历、相关证书、供应商为其缴纳的近三个月任意一个月的社保证明或劳 动合同复印件加盖公章，材料不全不得分。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w:t>
            </w:r>
            <w:r>
              <w:rPr>
                <w:rFonts w:hint="eastAsia" w:ascii="宋体" w:hAnsi="宋体" w:eastAsia="宋体" w:cs="宋体"/>
                <w:sz w:val="24"/>
                <w:szCs w:val="24"/>
                <w:lang w:val="en-US" w:eastAsia="zh-CN"/>
              </w:rPr>
            </w:r>
            <w:r/>
          </w:p>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r>
            <w:r/>
          </w:p>
        </w:tc>
        <w:tc>
          <w:tcPr>
            <w:tcW w:w="2661" w:type="dxa"/>
            <w:vAlign w:val="center"/>
            <w:textDirection w:val="lrTb"/>
            <w:noWrap w:val="false"/>
          </w:tcPr>
          <w:p>
            <w:pPr>
              <w:pStyle w:val="1136"/>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因采购人原因需增补食材品种或数量，并在采购人规定的时间内应急送达，价格与正常供货的价格相比不变的得3分，价格提高的不得分。</w:t>
            </w:r>
            <w:r>
              <w:rPr>
                <w:rFonts w:hint="eastAsia" w:ascii="宋体" w:hAnsi="宋体" w:eastAsia="宋体" w:cs="宋体"/>
                <w:sz w:val="24"/>
                <w:szCs w:val="24"/>
                <w:lang w:val="en-US" w:eastAsia="zh-CN"/>
              </w:rPr>
            </w:r>
            <w:r/>
          </w:p>
          <w:p>
            <w:pPr>
              <w:pStyle w:val="1136"/>
              <w:ind w:firstLine="28"/>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注：响应文件中提供承诺书并加盖公章，不提供不得分。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ascii="宋体" w:hAnsi="宋体" w:eastAsia="宋体" w:cs="宋体"/>
                <w:sz w:val="24"/>
                <w:szCs w:val="24"/>
                <w:lang w:val="en-US" w:eastAsia="zh-CN"/>
              </w:rPr>
            </w:r>
            <w:r/>
          </w:p>
        </w:tc>
        <w:tc>
          <w:tcPr>
            <w:tcW w:w="487"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体系</w:t>
            </w:r>
            <w:r>
              <w:rPr>
                <w:rFonts w:hint="eastAsia" w:ascii="宋体" w:hAnsi="宋体" w:eastAsia="宋体" w:cs="宋体"/>
                <w:sz w:val="24"/>
                <w:szCs w:val="24"/>
                <w:lang w:val="en-US" w:eastAsia="zh-CN"/>
              </w:rPr>
            </w:r>
            <w:r/>
          </w:p>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认证</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r>
            <w:r/>
          </w:p>
        </w:tc>
        <w:tc>
          <w:tcPr>
            <w:tcW w:w="2661" w:type="dxa"/>
            <w:vAlign w:val="center"/>
            <w:textDirection w:val="lrTb"/>
            <w:noWrap w:val="false"/>
          </w:tcPr>
          <w:p>
            <w:pPr>
              <w:pStyle w:val="1136"/>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具备有效的质量管理体系认证、环境管理体系认证、职业健康安全管理体系认证、食品安全管理体系认证、危害分析与关键控制点认体系证证书、供应链安全管理体系认证证书，每有一个证书得1 分，最高得6分。</w:t>
            </w:r>
            <w:r>
              <w:rPr>
                <w:rFonts w:hint="eastAsia" w:ascii="宋体" w:hAnsi="宋体" w:eastAsia="宋体" w:cs="宋体"/>
                <w:sz w:val="24"/>
                <w:szCs w:val="24"/>
                <w:lang w:val="en-US" w:eastAsia="zh-CN"/>
              </w:rPr>
            </w:r>
            <w:r/>
          </w:p>
          <w:p>
            <w:pPr>
              <w:pStyle w:val="1136"/>
              <w:ind w:firstLine="28"/>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注：响应文件中提证书复印件加盖公章，否则不得分。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1842"/>
        </w:trPr>
        <w:tc>
          <w:tcPr>
            <w:tcW w:w="349" w:type="dxa"/>
            <w:vAlign w:val="center"/>
            <w:textDirection w:val="lrTb"/>
            <w:noWrap w:val="false"/>
          </w:tcPr>
          <w:p>
            <w:pPr>
              <w:pStyle w:val="1136"/>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w:t>
            </w:r>
            <w:r>
              <w:rPr>
                <w:rFonts w:ascii="宋体" w:hAnsi="宋体" w:eastAsia="宋体" w:cs="宋体"/>
                <w:sz w:val="24"/>
                <w:szCs w:val="24"/>
                <w:highlight w:val="none"/>
                <w:lang w:val="en-US" w:eastAsia="zh-CN"/>
              </w:rPr>
            </w:r>
            <w:r/>
          </w:p>
        </w:tc>
        <w:tc>
          <w:tcPr>
            <w:tcW w:w="487" w:type="dxa"/>
            <w:vAlign w:val="center"/>
            <w:textDirection w:val="lrTb"/>
            <w:noWrap w:val="false"/>
          </w:tcPr>
          <w:p>
            <w:pPr>
              <w:pStyle w:val="1136"/>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场地相关承诺</w:t>
            </w:r>
            <w:r>
              <w:rPr>
                <w:rFonts w:ascii="宋体" w:hAnsi="宋体" w:eastAsia="宋体" w:cs="宋体"/>
                <w:sz w:val="24"/>
                <w:szCs w:val="24"/>
                <w:highlight w:val="none"/>
                <w:lang w:val="en-US" w:eastAsia="zh-CN"/>
              </w:rPr>
            </w:r>
            <w:r/>
          </w:p>
        </w:tc>
        <w:tc>
          <w:tcPr>
            <w:tcW w:w="381" w:type="dxa"/>
            <w:vAlign w:val="center"/>
            <w:textDirection w:val="lrTb"/>
            <w:noWrap w:val="false"/>
          </w:tcPr>
          <w:p>
            <w:pPr>
              <w:pStyle w:val="1136"/>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lang w:val="en-US" w:eastAsia="zh-CN"/>
              </w:rPr>
            </w:r>
            <w:r/>
          </w:p>
        </w:tc>
        <w:tc>
          <w:tcPr>
            <w:tcW w:w="2661" w:type="dxa"/>
            <w:vAlign w:val="center"/>
            <w:textDirection w:val="lrTb"/>
            <w:noWrap w:val="false"/>
          </w:tcPr>
          <w:p>
            <w:pPr>
              <w:pStyle w:val="1136"/>
              <w:ind w:firstLine="28"/>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为保质保量完成食材配送服务，供应商在溧阳有配送基地或承诺中标后为本项目在溧阳设置配送基地的，得2分。</w:t>
            </w:r>
            <w:r>
              <w:rPr>
                <w:rFonts w:hint="eastAsia" w:ascii="宋体" w:hAnsi="宋体" w:eastAsia="宋体" w:cs="宋体"/>
                <w:sz w:val="24"/>
                <w:szCs w:val="24"/>
                <w:highlight w:val="none"/>
                <w:lang w:val="en-US" w:eastAsia="zh-CN"/>
              </w:rPr>
            </w:r>
            <w:r/>
          </w:p>
          <w:p>
            <w:pPr>
              <w:pStyle w:val="1148"/>
              <w:rPr>
                <w:highlight w:val="none"/>
                <w:lang w:val="en-US" w:eastAsia="zh-CN"/>
              </w:rPr>
            </w:pPr>
            <w:r>
              <w:rPr>
                <w:rFonts w:hint="eastAsia" w:ascii="宋体" w:hAnsi="宋体" w:eastAsia="宋体" w:cs="宋体"/>
                <w:b/>
                <w:bCs/>
                <w:sz w:val="24"/>
                <w:szCs w:val="24"/>
                <w:highlight w:val="none"/>
                <w:lang w:val="en-US" w:eastAsia="zh-CN"/>
              </w:rPr>
              <w:t xml:space="preserve">注：响应文件中提供配送基地房产证明或租赁合同复印件或承诺书（格式自拟）并加盖公章，不提供不得分。</w:t>
            </w:r>
            <w:r>
              <w:rPr>
                <w:highlight w:val="none"/>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gridSpan w:val="2"/>
            <w:tcW w:w="1709"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en-US" w:eastAsia="zh-CN"/>
              </w:rPr>
            </w:r>
            <w:r/>
          </w:p>
        </w:tc>
        <w:tc>
          <w:tcPr>
            <w:tcW w:w="381"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w:t>
            </w:r>
            <w:r>
              <w:rPr>
                <w:rFonts w:hint="eastAsia" w:ascii="宋体" w:hAnsi="宋体" w:eastAsia="宋体" w:cs="宋体"/>
                <w:sz w:val="24"/>
                <w:szCs w:val="24"/>
                <w:lang w:val="en-US" w:eastAsia="zh-CN"/>
              </w:rPr>
            </w:r>
            <w:r/>
          </w:p>
        </w:tc>
        <w:tc>
          <w:tcPr>
            <w:tcW w:w="2661"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20" w:type="dxa"/>
            <w:vAlign w:val="center"/>
            <w:textDirection w:val="lrTb"/>
            <w:noWrap w:val="false"/>
          </w:tcPr>
          <w:p>
            <w:pPr>
              <w:pStyle w:val="1136"/>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1136"/>
        <w:jc w:val="center"/>
        <w:spacing w:line="360" w:lineRule="auto"/>
        <w:rPr>
          <w:rFonts w:hint="eastAsia"/>
          <w:b/>
          <w:sz w:val="36"/>
          <w:szCs w:val="36"/>
          <w:lang w:eastAsia="zh-CN"/>
        </w:rPr>
        <w:outlineLvl w:val="0"/>
      </w:pPr>
      <w:r>
        <w:rPr>
          <w:rFonts w:hint="eastAsia"/>
          <w:b/>
          <w:sz w:val="36"/>
          <w:szCs w:val="36"/>
          <w:lang w:eastAsia="zh-CN"/>
        </w:rPr>
      </w:r>
      <w:r/>
    </w:p>
    <w:p>
      <w:pPr>
        <w:pStyle w:val="1136"/>
        <w:ind w:firstLine="723"/>
        <w:jc w:val="center"/>
        <w:keepLines w:val="0"/>
        <w:keepNext w:val="0"/>
        <w:pageBreakBefore w:val="0"/>
        <w:spacing w:line="360" w:lineRule="auto"/>
        <w:widowControl w:val="off"/>
        <w:rPr>
          <w:rFonts w:hint="eastAsia"/>
          <w:b/>
          <w:sz w:val="36"/>
          <w:szCs w:val="36"/>
          <w:highlight w:val="yellow"/>
        </w:rPr>
        <w:outlineLvl w:val="0"/>
      </w:pPr>
      <w:r>
        <w:rPr>
          <w:rFonts w:hint="eastAsia"/>
          <w:b/>
          <w:sz w:val="36"/>
          <w:szCs w:val="36"/>
          <w:highlight w:val="none"/>
        </w:rPr>
        <w:br w:type="page" w:clear="all"/>
      </w:r>
      <w:r>
        <w:rPr>
          <w:rFonts w:hint="eastAsia"/>
          <w:b/>
          <w:sz w:val="36"/>
          <w:szCs w:val="36"/>
          <w:highlight w:val="none"/>
        </w:rPr>
        <w:t xml:space="preserve">第四章 </w:t>
      </w:r>
      <w:r>
        <w:rPr>
          <w:b/>
          <w:sz w:val="36"/>
          <w:szCs w:val="36"/>
          <w:highlight w:val="none"/>
        </w:rPr>
        <w:t xml:space="preserve">  采购需求</w:t>
      </w:r>
      <w:r>
        <w:rPr>
          <w:rFonts w:hint="eastAsia"/>
          <w:b/>
          <w:sz w:val="36"/>
          <w:szCs w:val="36"/>
          <w:highlight w:val="yellow"/>
        </w:rPr>
      </w:r>
      <w:r/>
    </w:p>
    <w:p>
      <w:pPr>
        <w:pStyle w:val="1136"/>
        <w:numPr>
          <w:ilvl w:val="0"/>
          <w:numId w:val="0"/>
        </w:numPr>
        <w:ind w:firstLine="482"/>
        <w:jc w:val="both"/>
        <w:keepLines w:val="0"/>
        <w:keepNext w:val="0"/>
        <w:pageBreakBefore w:val="0"/>
        <w:spacing w:line="360" w:lineRule="auto"/>
        <w:widowControl w:val="off"/>
        <w:rPr>
          <w:rFonts w:ascii="宋体" w:hAnsi="宋体" w:eastAsia="宋体" w:cs="宋体"/>
          <w:b/>
          <w:bCs/>
          <w:color w:val="000000"/>
          <w:sz w:val="24"/>
          <w:szCs w:val="24"/>
        </w:rPr>
        <w:outlineLvl w:val="0"/>
      </w:pPr>
      <w:r>
        <w:rPr>
          <w:rFonts w:ascii="宋体" w:hAnsi="宋体" w:eastAsia="宋体" w:cs="宋体"/>
          <w:b/>
          <w:bCs/>
          <w:color w:val="000000"/>
          <w:sz w:val="24"/>
          <w:szCs w:val="24"/>
        </w:rPr>
        <w:t xml:space="preserve">一、采购需求 </w:t>
      </w:r>
      <w:r>
        <w:rPr>
          <w:rFonts w:ascii="宋体" w:hAnsi="宋体" w:eastAsia="宋体" w:cs="宋体"/>
          <w:b/>
          <w:bCs/>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1.本项目为</w:t>
      </w:r>
      <w:r>
        <w:rPr>
          <w:rFonts w:hint="eastAsia" w:ascii="宋体" w:hAnsi="宋体" w:eastAsia="宋体" w:cs="宋体"/>
          <w:b w:val="0"/>
          <w:bCs w:val="0"/>
          <w:color w:val="000000"/>
          <w:sz w:val="24"/>
          <w:szCs w:val="24"/>
        </w:rPr>
        <w:t xml:space="preserve">常州市自行车队溧阳曹山训练基地食品原材料采购及配送服务项目</w:t>
      </w:r>
      <w:r>
        <w:rPr>
          <w:rFonts w:ascii="宋体" w:hAnsi="宋体" w:eastAsia="宋体" w:cs="宋体"/>
          <w:b w:val="0"/>
          <w:bCs w:val="0"/>
          <w:color w:val="000000"/>
          <w:sz w:val="24"/>
          <w:szCs w:val="24"/>
        </w:rPr>
        <w:t xml:space="preserve">，采购范围包括但不限于蔬菜瓜果、水产品、肉类、家禽、点心米面、食用油、副 食品、奶制品、佐料等。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2.所有提供的食品原材料不得含有兴奋剂违禁成分。食材必须符合《中华人民共和 国食品安全法》标准，原则上不得提供冰冻食品，水产类食品原材料必须现宰现杀</w:t>
      </w:r>
      <w:r>
        <w:rPr>
          <w:rFonts w:ascii="宋体" w:hAnsi="宋体" w:eastAsia="宋体" w:cs="宋体"/>
          <w:b/>
          <w:bCs/>
          <w:color w:val="000000"/>
          <w:sz w:val="24"/>
          <w:szCs w:val="24"/>
        </w:rPr>
        <w:t xml:space="preserve">，家 禽必须当天活杀</w:t>
      </w:r>
      <w:r>
        <w:rPr>
          <w:rFonts w:ascii="宋体" w:hAnsi="宋体" w:eastAsia="宋体" w:cs="宋体"/>
          <w:b w:val="0"/>
          <w:bCs w:val="0"/>
          <w:color w:val="000000"/>
          <w:sz w:val="24"/>
          <w:szCs w:val="24"/>
        </w:rPr>
        <w:t xml:space="preserve">，确保所提供的食品原材料新鲜。并根据协议约定和食堂提出的品种、 规格、品牌、数量、质量要求在规定的时间内及时送到。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3.配送地点：</w:t>
      </w:r>
      <w:r>
        <w:rPr>
          <w:rFonts w:hint="eastAsia" w:ascii="宋体" w:hAnsi="宋体" w:eastAsia="宋体" w:cs="宋体"/>
          <w:b w:val="0"/>
          <w:bCs w:val="0"/>
          <w:color w:val="000000"/>
          <w:sz w:val="24"/>
          <w:szCs w:val="24"/>
        </w:rPr>
        <w:t xml:space="preserve">溧阳市经济开发区上兴镇</w:t>
      </w:r>
      <w:r>
        <w:rPr>
          <w:rFonts w:ascii="宋体" w:hAnsi="宋体" w:eastAsia="宋体" w:cs="宋体"/>
          <w:b w:val="0"/>
          <w:bCs w:val="0"/>
          <w:color w:val="000000"/>
          <w:sz w:val="24"/>
          <w:szCs w:val="24"/>
        </w:rPr>
        <w:t xml:space="preserve">。 </w:t>
      </w:r>
      <w:r>
        <w:rPr>
          <w:rFonts w:ascii="宋体" w:hAnsi="宋体" w:eastAsia="宋体" w:cs="宋体"/>
          <w:b w:val="0"/>
          <w:bCs w:val="0"/>
          <w:color w:val="000000"/>
          <w:sz w:val="24"/>
          <w:szCs w:val="24"/>
        </w:rPr>
      </w:r>
      <w:r/>
    </w:p>
    <w:p>
      <w:pPr>
        <w:pStyle w:val="1136"/>
        <w:numPr>
          <w:ilvl w:val="0"/>
          <w:numId w:val="0"/>
        </w:numPr>
        <w:ind w:firstLine="482"/>
        <w:jc w:val="both"/>
        <w:keepLines w:val="0"/>
        <w:keepNext w:val="0"/>
        <w:pageBreakBefore w:val="0"/>
        <w:spacing w:line="360" w:lineRule="auto"/>
        <w:widowControl w:val="off"/>
        <w:rPr>
          <w:rFonts w:ascii="宋体" w:hAnsi="宋体" w:eastAsia="宋体" w:cs="宋体"/>
          <w:b/>
          <w:bCs/>
          <w:color w:val="000000"/>
          <w:sz w:val="24"/>
          <w:szCs w:val="24"/>
        </w:rPr>
        <w:outlineLvl w:val="0"/>
      </w:pPr>
      <w:r>
        <w:rPr>
          <w:rFonts w:ascii="宋体" w:hAnsi="宋体" w:eastAsia="宋体" w:cs="宋体"/>
          <w:b/>
          <w:bCs/>
          <w:color w:val="000000"/>
          <w:sz w:val="24"/>
          <w:szCs w:val="24"/>
        </w:rPr>
        <w:t xml:space="preserve">二、配送需求 </w:t>
      </w:r>
      <w:r>
        <w:rPr>
          <w:rFonts w:ascii="宋体" w:hAnsi="宋体" w:eastAsia="宋体" w:cs="宋体"/>
          <w:b/>
          <w:bCs/>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1.采购人每周周日把下周采购清单交给供货商，供货商确保食堂所需的食品原材料 品种、规格、品牌、数量、质量等准确无误，并在规定时间内及时送达。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2.成交供应商需每天上午 7:30 之前把食材配送完成，保证按时到达并提供供货单 清，在验收小组（配送人员，</w:t>
      </w:r>
      <w:r>
        <w:rPr>
          <w:rFonts w:hint="eastAsia" w:ascii="宋体" w:hAnsi="宋体" w:eastAsia="宋体" w:cs="宋体"/>
          <w:b w:val="0"/>
          <w:bCs w:val="0"/>
          <w:color w:val="000000"/>
          <w:sz w:val="24"/>
          <w:szCs w:val="24"/>
          <w:lang w:val="en-US" w:eastAsia="zh-CN"/>
        </w:rPr>
        <w:t xml:space="preserve">值班教练</w:t>
      </w:r>
      <w:r>
        <w:rPr>
          <w:rFonts w:ascii="宋体" w:hAnsi="宋体" w:eastAsia="宋体" w:cs="宋体"/>
          <w:b w:val="0"/>
          <w:bCs w:val="0"/>
          <w:color w:val="000000"/>
          <w:sz w:val="24"/>
          <w:szCs w:val="24"/>
        </w:rPr>
        <w:t xml:space="preserve">，食堂工作人员）验收完之后在供货清单上签字。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3.应急配送的在收到通知后半小时内响应，1 小时内完成或提出解决方案。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4.成交供应商按要求提供质检报告、检疫证明等资料，如果发现质量不合格的，成 交供应商应无条件退货或在采购人指定的时间内重新换货，并对成交供应商扣除该货物 品种金额 5-10 倍的货款作为违约金。因食品质量而引发的其他问题，由成交供应商承 担其全部责任。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5.成交供应商配合采购人指定的验收人员进行质量检验，验收时必须过秤，确定食 品重量；成交供应商实际交售数量与预约数量相差上下不得超过3%。</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6.成交供应商对采购人所需菜品及其他辅料无论数量多少，应无条件配送。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7.成交供应商必须做到全天候配送服务响应，并及时向采购人反馈食材筹措及配送 情况。成交供应商应根据采购人需求及时对供货品种进行调整。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★8.采购人执行紧急任务和特殊情况（就餐人数临时变化的）需立即补充食材，可 随时直接向成交供应商提出采购需求，并明确配送时限，应急配送的在收到通知后半小 时内响应，1 小时内完成或提出解决方案。如不能及时响应采购人需求的，则采购人可选择自行采购。（</w:t>
      </w:r>
      <w:r>
        <w:rPr>
          <w:rFonts w:ascii="宋体" w:hAnsi="宋体" w:eastAsia="宋体" w:cs="宋体"/>
          <w:b/>
          <w:bCs/>
          <w:color w:val="000000"/>
          <w:sz w:val="24"/>
          <w:szCs w:val="24"/>
        </w:rPr>
        <w:t xml:space="preserve">响应文件中提供承诺函，</w:t>
      </w:r>
      <w:r>
        <w:rPr>
          <w:rFonts w:hint="eastAsia" w:ascii="宋体" w:hAnsi="宋体" w:eastAsia="宋体" w:cs="宋体"/>
          <w:b/>
          <w:bCs/>
          <w:color w:val="000000"/>
          <w:sz w:val="24"/>
          <w:szCs w:val="24"/>
          <w:lang w:val="en-US" w:eastAsia="zh-CN"/>
        </w:rPr>
        <w:t xml:space="preserve">否则视为无效响应。</w:t>
      </w:r>
      <w:r>
        <w:rPr>
          <w:rFonts w:ascii="宋体" w:hAnsi="宋体" w:eastAsia="宋体" w:cs="宋体"/>
          <w:b/>
          <w:bCs/>
          <w:color w:val="000000"/>
          <w:sz w:val="24"/>
          <w:szCs w:val="24"/>
        </w:rPr>
        <w:t xml:space="preserve">承诺函格式自拟</w:t>
      </w:r>
      <w:r>
        <w:rPr>
          <w:rFonts w:hint="eastAsia" w:ascii="宋体" w:hAnsi="宋体" w:eastAsia="宋体" w:cs="宋体"/>
          <w:b/>
          <w:bCs/>
          <w:color w:val="000000"/>
          <w:sz w:val="24"/>
          <w:szCs w:val="24"/>
          <w:lang w:eastAsia="zh-CN"/>
        </w:rPr>
        <w:t xml:space="preserve">。</w:t>
      </w:r>
      <w:r>
        <w:rPr>
          <w:rFonts w:ascii="宋体" w:hAnsi="宋体" w:eastAsia="宋体" w:cs="宋体"/>
          <w:b w:val="0"/>
          <w:bCs w:val="0"/>
          <w:color w:val="000000"/>
          <w:sz w:val="24"/>
          <w:szCs w:val="24"/>
        </w:rPr>
        <w:t xml:space="preserve">） </w:t>
      </w:r>
      <w:r>
        <w:rPr>
          <w:rFonts w:ascii="宋体" w:hAnsi="宋体" w:eastAsia="宋体" w:cs="宋体"/>
          <w:b w:val="0"/>
          <w:bCs w:val="0"/>
          <w:color w:val="000000"/>
          <w:sz w:val="24"/>
          <w:szCs w:val="24"/>
        </w:rPr>
      </w:r>
      <w:r/>
    </w:p>
    <w:p>
      <w:pPr>
        <w:pStyle w:val="1136"/>
        <w:numPr>
          <w:ilvl w:val="0"/>
          <w:numId w:val="14"/>
        </w:numPr>
        <w:ind w:firstLine="480"/>
        <w:jc w:val="both"/>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个别品种因缺货而无法提供的，应在接到订单当天内及时知会采购人并协商好解决方法。特殊情况（如连续降雨、降雪、冰冻等）将视不同情形调整供货存量，且以配送通知为准（包括电话通知、短信通知、微信通知等）。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10.</w:t>
      </w:r>
      <w:r>
        <w:rPr>
          <w:rFonts w:ascii="宋体" w:hAnsi="宋体" w:eastAsia="宋体" w:cs="宋体"/>
          <w:b w:val="0"/>
          <w:bCs w:val="0"/>
          <w:color w:val="000000"/>
          <w:sz w:val="24"/>
          <w:szCs w:val="24"/>
        </w:rPr>
        <w:t xml:space="preserve">成交供应商如送货迟到超过一小时，影响采购人正常运转的，采购人可从其他 渠道进货，所发生的金额由成交供应商承担，并扣罚本次短缺数量金额</w:t>
      </w:r>
      <w:r>
        <w:rPr>
          <w:rFonts w:hint="eastAsia" w:ascii="宋体" w:hAnsi="宋体" w:eastAsia="宋体" w:cs="宋体"/>
          <w:b w:val="0"/>
          <w:bCs w:val="0"/>
          <w:color w:val="000000"/>
          <w:sz w:val="24"/>
          <w:szCs w:val="24"/>
          <w:lang w:val="en-US" w:eastAsia="zh-CN"/>
        </w:rPr>
        <w:t xml:space="preserve">的</w:t>
      </w:r>
      <w:r>
        <w:rPr>
          <w:rFonts w:ascii="宋体" w:hAnsi="宋体" w:eastAsia="宋体" w:cs="宋体"/>
          <w:b w:val="0"/>
          <w:bCs w:val="0"/>
          <w:color w:val="000000"/>
          <w:sz w:val="24"/>
          <w:szCs w:val="24"/>
        </w:rPr>
        <w:t xml:space="preserve">10%作为违约 金。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11.成交供应商应指定专人负责受理采购人食材订购、计划调整、退货更换、储备轮换等事宜，保持每周7天每天24小时通信畅通，沟通顺畅，处置及时，收到采购人食材需求配送计划后应及时予以确认并处理。在合同有效期内不更换。未经采购人同意 擅自更换的，采购人将对中标人进行相应处罚，采购人有权解除合同。 </w:t>
      </w:r>
      <w:r>
        <w:rPr>
          <w:rFonts w:ascii="宋体" w:hAnsi="宋体" w:eastAsia="宋体" w:cs="宋体"/>
          <w:b w:val="0"/>
          <w:bCs w:val="0"/>
          <w:color w:val="000000"/>
          <w:sz w:val="24"/>
          <w:szCs w:val="24"/>
        </w:rPr>
      </w:r>
      <w:r/>
    </w:p>
    <w:p>
      <w:pPr>
        <w:pStyle w:val="1136"/>
        <w:numPr>
          <w:ilvl w:val="0"/>
          <w:numId w:val="12"/>
        </w:numPr>
        <w:ind w:left="0" w:firstLine="482"/>
        <w:jc w:val="both"/>
        <w:keepLines w:val="0"/>
        <w:keepNext w:val="0"/>
        <w:pageBreakBefore w:val="0"/>
        <w:spacing w:line="360" w:lineRule="auto"/>
        <w:widowControl w:val="off"/>
        <w:rPr>
          <w:rFonts w:ascii="宋体" w:hAnsi="宋体" w:eastAsia="宋体" w:cs="宋体"/>
          <w:b/>
          <w:bCs/>
          <w:color w:val="000000"/>
          <w:sz w:val="24"/>
          <w:szCs w:val="24"/>
        </w:rPr>
        <w:outlineLvl w:val="0"/>
      </w:pPr>
      <w:r>
        <w:rPr>
          <w:rFonts w:ascii="宋体" w:hAnsi="宋体" w:eastAsia="宋体" w:cs="宋体"/>
          <w:b/>
          <w:bCs/>
          <w:color w:val="000000"/>
          <w:sz w:val="24"/>
          <w:szCs w:val="24"/>
        </w:rPr>
        <w:t xml:space="preserve">服务要求 </w:t>
      </w:r>
      <w:r>
        <w:rPr>
          <w:rFonts w:ascii="宋体" w:hAnsi="宋体" w:eastAsia="宋体" w:cs="宋体"/>
          <w:b/>
          <w:bCs/>
          <w:color w:val="000000"/>
          <w:sz w:val="24"/>
          <w:szCs w:val="24"/>
        </w:rPr>
      </w:r>
      <w:r/>
    </w:p>
    <w:p>
      <w:pPr>
        <w:pStyle w:val="1136"/>
        <w:numPr>
          <w:ilvl w:val="0"/>
          <w:numId w:val="15"/>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总体要求 </w:t>
      </w:r>
      <w:r>
        <w:rPr>
          <w:rFonts w:ascii="宋体" w:hAnsi="宋体" w:eastAsia="宋体" w:cs="宋体"/>
          <w:b w:val="0"/>
          <w:bCs w:val="0"/>
          <w:color w:val="000000"/>
          <w:sz w:val="24"/>
          <w:szCs w:val="24"/>
        </w:rPr>
      </w:r>
      <w:r/>
    </w:p>
    <w:p>
      <w:pPr>
        <w:pStyle w:val="1136"/>
        <w:numPr>
          <w:ilvl w:val="0"/>
          <w:numId w:val="16"/>
        </w:numPr>
        <w:ind w:firstLine="480"/>
        <w:jc w:val="both"/>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成交供应商供应的食材必须符合《中华人民共和国食品安全法》以及国家和地方有关规定，并根据协议约定和食堂提出的品种、规格、品牌、数量、质量要求在规定的时间内及时送到。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★2.成交供应商严禁提供以下食品（</w:t>
      </w:r>
      <w:r>
        <w:rPr>
          <w:rFonts w:ascii="宋体" w:hAnsi="宋体" w:eastAsia="宋体" w:cs="宋体"/>
          <w:b/>
          <w:bCs/>
          <w:color w:val="000000"/>
          <w:sz w:val="24"/>
          <w:szCs w:val="24"/>
        </w:rPr>
        <w:t xml:space="preserve">以下内容响应人应在响应文件中提供承诺函， 承诺函格式自拟，未提供承诺函视为无效投标</w:t>
      </w:r>
      <w:r>
        <w:rPr>
          <w:rFonts w:ascii="宋体" w:hAnsi="宋体" w:eastAsia="宋体" w:cs="宋体"/>
          <w:b w:val="0"/>
          <w:bCs w:val="0"/>
          <w:color w:val="000000"/>
          <w:sz w:val="24"/>
          <w:szCs w:val="24"/>
        </w:rPr>
        <w:t xml:space="preserve">）： </w:t>
      </w:r>
      <w:r>
        <w:rPr>
          <w:rFonts w:ascii="宋体" w:hAnsi="宋体" w:eastAsia="宋体" w:cs="宋体"/>
          <w:b w:val="0"/>
          <w:bCs w:val="0"/>
          <w:color w:val="000000"/>
          <w:sz w:val="24"/>
          <w:szCs w:val="24"/>
        </w:rPr>
      </w:r>
      <w:r/>
    </w:p>
    <w:p>
      <w:pPr>
        <w:pStyle w:val="1136"/>
        <w:numPr>
          <w:ilvl w:val="0"/>
          <w:numId w:val="17"/>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无品名、产地、厂名、生产日期、保质期及中文标识及原料说明的定型包装 食品（除蔬菜、面点、早点等非定型包装食品）； </w:t>
      </w:r>
      <w:r>
        <w:rPr>
          <w:rFonts w:ascii="宋体" w:hAnsi="宋体" w:eastAsia="宋体" w:cs="宋体"/>
          <w:b w:val="0"/>
          <w:bCs w:val="0"/>
          <w:color w:val="000000"/>
          <w:sz w:val="24"/>
          <w:szCs w:val="24"/>
        </w:rPr>
      </w:r>
      <w:r/>
    </w:p>
    <w:p>
      <w:pPr>
        <w:pStyle w:val="1136"/>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超过保质期限或不符合食品标签规定的定型包装食品； </w:t>
      </w:r>
      <w:r>
        <w:rPr>
          <w:rFonts w:ascii="宋体" w:hAnsi="宋体" w:eastAsia="宋体" w:cs="宋体"/>
          <w:b w:val="0"/>
          <w:bCs w:val="0"/>
          <w:color w:val="000000"/>
          <w:sz w:val="24"/>
          <w:szCs w:val="24"/>
        </w:rPr>
      </w:r>
      <w:r/>
    </w:p>
    <w:p>
      <w:pPr>
        <w:pStyle w:val="1136"/>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腐败变质、油脂酸败、霉变、生虫、污秽不洁、混有异物或者其他感官性状 异常，含有毒、有害物质或者被有毒、有害物质污染，可能对人体健康有害的食品； </w:t>
      </w:r>
      <w:r>
        <w:rPr>
          <w:rFonts w:ascii="宋体" w:hAnsi="宋体" w:eastAsia="宋体" w:cs="宋体"/>
          <w:b w:val="0"/>
          <w:bCs w:val="0"/>
          <w:color w:val="000000"/>
          <w:sz w:val="24"/>
          <w:szCs w:val="24"/>
        </w:rPr>
      </w:r>
      <w:r/>
    </w:p>
    <w:p>
      <w:pPr>
        <w:pStyle w:val="1136"/>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病死、死因不明或从疫区采购的水产品、畜、禽及其制品，不合格调味品， 工业用盐，非碘盐或非食品原料和滥用食品添加剂，农药残留超标的水果、蔬菜等； </w:t>
      </w:r>
      <w:r>
        <w:rPr>
          <w:rFonts w:ascii="宋体" w:hAnsi="宋体" w:eastAsia="宋体" w:cs="宋体"/>
          <w:b w:val="0"/>
          <w:bCs w:val="0"/>
          <w:color w:val="000000"/>
          <w:sz w:val="24"/>
          <w:szCs w:val="24"/>
        </w:rPr>
      </w:r>
      <w:r/>
    </w:p>
    <w:p>
      <w:pPr>
        <w:pStyle w:val="1136"/>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含有兴奋剂违禁成分的食品原材料； </w:t>
      </w:r>
      <w:r>
        <w:rPr>
          <w:rFonts w:ascii="宋体" w:hAnsi="宋体" w:eastAsia="宋体" w:cs="宋体"/>
          <w:b w:val="0"/>
          <w:bCs w:val="0"/>
          <w:color w:val="000000"/>
          <w:sz w:val="24"/>
          <w:szCs w:val="24"/>
        </w:rPr>
      </w:r>
      <w:r/>
    </w:p>
    <w:p>
      <w:pPr>
        <w:pStyle w:val="1136"/>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转基因食品及其他不符合食品卫生标准和要求的食品。 如因所供应食品的质量问题引起食物中毒等食源性疾病的发生或其他事故，成交供应商除必须承担全部的法律责任外，还要全额承担因发生食物中毒造成后果的一切费用（包含但不限于治疗费、误工费等）。采购人有权立即终止供货协议，并暂扣成交供应商当月所有供应食材的货款，作为成交供应商的赔偿预付款；如涉及违法，依法追究责任。 </w:t>
      </w:r>
      <w:r>
        <w:rPr>
          <w:rFonts w:ascii="宋体" w:hAnsi="宋体" w:eastAsia="宋体" w:cs="宋体"/>
          <w:b w:val="0"/>
          <w:bCs w:val="0"/>
          <w:color w:val="000000"/>
          <w:sz w:val="24"/>
          <w:szCs w:val="24"/>
        </w:rPr>
      </w:r>
      <w:r/>
    </w:p>
    <w:p>
      <w:pPr>
        <w:pStyle w:val="1136"/>
        <w:numPr>
          <w:ilvl w:val="0"/>
          <w:numId w:val="15"/>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质量标准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所有货物必须符合质量安全国家标准、行业标准或者地方标准，符合保障人的健康、 安全的要求，具体如下： </w:t>
      </w:r>
      <w:r>
        <w:rPr>
          <w:rFonts w:ascii="宋体" w:hAnsi="宋体" w:eastAsia="宋体" w:cs="宋体"/>
          <w:b w:val="0"/>
          <w:bCs w:val="0"/>
          <w:color w:val="000000"/>
          <w:sz w:val="24"/>
          <w:szCs w:val="24"/>
        </w:rPr>
      </w:r>
      <w:r/>
    </w:p>
    <w:p>
      <w:pPr>
        <w:pStyle w:val="1136"/>
        <w:numPr>
          <w:ilvl w:val="0"/>
          <w:numId w:val="18"/>
        </w:numPr>
        <w:ind w:firstLine="480"/>
        <w:jc w:val="both"/>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肉类配送标准：使用新鲜/冷鲜肉类，不注水，色泽鲜</w:t>
      </w:r>
      <w:r>
        <w:rPr>
          <w:rFonts w:ascii="宋体" w:hAnsi="宋体" w:eastAsia="宋体" w:cs="宋体"/>
          <w:b w:val="0"/>
          <w:bCs w:val="0"/>
          <w:color w:val="000000"/>
          <w:sz w:val="24"/>
          <w:szCs w:val="24"/>
        </w:rPr>
        <w:t xml:space="preserve">嫩，无异味，去长脚，无 槽头、无隔膜，肥瘦比例较好，质量必须符合 GB9959.1-2019 标准。主要产品包括大排、肉丝、肉片、方肉、小排、肉酱、猪蹄、鲜猪肝等。其中排肉是指无骨腿肉和无骨夹心肉，其中腿肉要求剔除大股骨，夹心肉要求割除下懒肉，整方供应，并提供《动物或动 物产品分销信息凭证》或《动物检疫合格证》和《肉品品质检验合格证》。配送所需的生猪应由规模养殖场提供经农业部门检测、检疫合格的鲜活健康猪源，经定点屠宰厂屠 宰加工并检验合格；配送工具必须符合卫生要求，不得与其他货物混装，防止肉品二次 污染。 </w:t>
      </w:r>
      <w:r>
        <w:rPr>
          <w:rFonts w:ascii="宋体" w:hAnsi="宋体" w:eastAsia="宋体" w:cs="宋体"/>
          <w:b w:val="0"/>
          <w:bCs w:val="0"/>
          <w:color w:val="000000"/>
          <w:sz w:val="24"/>
          <w:szCs w:val="24"/>
        </w:rPr>
      </w:r>
      <w:r/>
    </w:p>
    <w:p>
      <w:pPr>
        <w:pStyle w:val="1136"/>
        <w:numPr>
          <w:ilvl w:val="0"/>
          <w:numId w:val="18"/>
        </w:numPr>
        <w:ind w:left="0" w:firstLine="480"/>
        <w:jc w:val="both"/>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家禽冰鲜/生鲜（鸡腿、鸡翅、鸡脯肉等）质量要求：肉面干净、无任何异味，无毛发，表皮处理清洁，大小统一、码放整齐，必须提供《动物或动物产品分销信息凭证》或《动物检疫合格证》，并提供养殖基地有效证件。供应商须提供产品合格证明文 件。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3.豆制品质量要求：发酵性豆制品必须符合 GB2712-2003 标准，非发酵豆制品必须符合 GBT 22106-2008 标准、GB2711-2003 非发酵性豆制品及面筋卫生标准，对豆制品的有关安全健康指标符合国家规定，并具有“QS”食品质量安全认证。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4.</w:t>
      </w:r>
      <w:r>
        <w:rPr>
          <w:rFonts w:ascii="宋体" w:hAnsi="宋体" w:eastAsia="宋体" w:cs="宋体"/>
          <w:b w:val="0"/>
          <w:bCs w:val="0"/>
          <w:color w:val="000000"/>
          <w:sz w:val="24"/>
          <w:szCs w:val="24"/>
        </w:rPr>
        <w:t xml:space="preserve">水产品质量要求：必须符合 GB 10136-2015《食品安全国家标准 动物性水产制 品》、GB 10133-2014《食品安全国家标准 水产调味品》、 GB 19643-2016《食品安全 国家标准 藻类及其制品》等。产品的感观、安全、卫生、稳定性等指标符合相关规定。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5.</w:t>
      </w:r>
      <w:r>
        <w:rPr>
          <w:rFonts w:ascii="宋体" w:hAnsi="宋体" w:eastAsia="宋体" w:cs="宋体"/>
          <w:b w:val="0"/>
          <w:bCs w:val="0"/>
          <w:color w:val="000000"/>
          <w:sz w:val="24"/>
          <w:szCs w:val="24"/>
        </w:rPr>
        <w:t xml:space="preserve">无公害蔬菜质量要求：必须符合 GB18406.1-2001 农产品安全质量无公害蔬菜安 全要求，对蔬菜中有害物质严格控制在标准规定范围之内，提供农药残留检测报告，并 按照厨师要求完成其他初步处理工作。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6.</w:t>
      </w:r>
      <w:r>
        <w:rPr>
          <w:rFonts w:ascii="宋体" w:hAnsi="宋体" w:eastAsia="宋体" w:cs="宋体"/>
          <w:b w:val="0"/>
          <w:bCs w:val="0"/>
          <w:color w:val="000000"/>
          <w:sz w:val="24"/>
          <w:szCs w:val="24"/>
        </w:rPr>
        <w:t xml:space="preserve">水果质量要求：须提供该批次产品的农药残留检测报告，验收确认产品的色、香、 味、形等感官性状正常； </w:t>
      </w:r>
      <w:r>
        <w:rPr>
          <w:rFonts w:ascii="宋体" w:hAnsi="宋体" w:eastAsia="宋体" w:cs="宋体"/>
          <w:b w:val="0"/>
          <w:bCs w:val="0"/>
          <w:color w:val="000000"/>
          <w:sz w:val="24"/>
          <w:szCs w:val="24"/>
        </w:rPr>
      </w:r>
      <w:r/>
    </w:p>
    <w:p>
      <w:pPr>
        <w:pStyle w:val="1136"/>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7.</w:t>
      </w:r>
      <w:r>
        <w:rPr>
          <w:rFonts w:ascii="宋体" w:hAnsi="宋体" w:eastAsia="宋体" w:cs="宋体"/>
          <w:b w:val="0"/>
          <w:bCs w:val="0"/>
          <w:color w:val="000000"/>
          <w:sz w:val="24"/>
          <w:szCs w:val="24"/>
        </w:rPr>
        <w:t xml:space="preserve">禽蛋质量要求：禽蛋等新鲜蛋类必须符合 GB2749-2015 标准。</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8.面粉及面制品：面粉级别为特一级，必须符合 GB1355-1986 标准，并拥有“QS”食品质量安全认证。能提供产品合格证明文件。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9.大米（粳米）：大米必须符合 GB1354-2009 标准，并拥有 “QS”食品质量安全认证，级别：一级，一年内新米；并能提供产品合格证明文件。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10.食用油：非转基因食用油，必须符合 GB2716-2005 食用植物油卫生标准，并具有“QS”食品质量安全认证或“SC 食品生产许可证”。并遵守食用油的国家质量标准， 规定存放及运输过程中应分开包装及堆放，包装袋（箱）应为食品专用袋（箱）。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11.调味品质量要求：食用盐符合 GB5461-2016 标准，酱油符合 GB/T18186-2000标准，味精符合 GB 2720-2015 标准，生粉（淀粉制品）符合 GB 2713-2015 标准，食糖符合 GB 13104-2014 标准，镇江香醋符合 GB/T18623-2011标准,酿造食醋符合GB18187-2000 标准，并能提供产品合格证明文件。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12.奶制品：包装完好无破损，在有效期内，生产日期至送货当日之期不得超过保质期的 1/3。符合相应的有关国家标准要求。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13.点心类：应符合相关的国家或行业食品安全标准。需要分包装的产品需使用符合卫生标准的包装袋，并规定要求加贴产品信息标签，标识标牌齐全，无破损。生产日期至送货当日之期不得超过保质期的 1/3，所有产品需提供第三方检测报告。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14.食品添加剂质量要求：食品添加剂应符合相应的食品安全标准，添加剂的使用 必须符合GB2760-2011标准，对食品的添加量严格控制在标准规定范围之内。 </w:t>
      </w:r>
      <w:r>
        <w:rPr>
          <w:rFonts w:ascii="宋体" w:hAnsi="宋体" w:eastAsia="宋体" w:cs="宋体"/>
          <w:b w:val="0"/>
          <w:bCs w:val="0"/>
          <w:color w:val="000000"/>
          <w:sz w:val="24"/>
          <w:szCs w:val="24"/>
        </w:rPr>
      </w:r>
      <w:r/>
    </w:p>
    <w:p>
      <w:pPr>
        <w:pStyle w:val="1148"/>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注：以上质量标准如有新的国家或行业标准出台，则以最新标准执行。 </w:t>
      </w:r>
      <w:r>
        <w:rPr>
          <w:rFonts w:ascii="宋体" w:hAnsi="宋体" w:eastAsia="宋体" w:cs="宋体"/>
          <w:b/>
          <w:bCs/>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（三）加工要求 </w:t>
      </w:r>
      <w:r>
        <w:rPr>
          <w:rFonts w:ascii="宋体" w:hAnsi="宋体" w:eastAsia="宋体" w:cs="宋体"/>
          <w:b w:val="0"/>
          <w:bCs w:val="0"/>
          <w:color w:val="000000"/>
          <w:sz w:val="24"/>
          <w:szCs w:val="24"/>
        </w:rPr>
      </w:r>
      <w:r/>
    </w:p>
    <w:p>
      <w:pPr>
        <w:pStyle w:val="1148"/>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1.禽类可以经过粗加工后方进行配送，但必须当日活杀，确保食材新鲜。 </w:t>
      </w:r>
      <w:r>
        <w:rPr>
          <w:rFonts w:ascii="宋体" w:hAnsi="宋体" w:eastAsia="宋体" w:cs="宋体"/>
          <w:b/>
          <w:bCs/>
          <w:color w:val="000000"/>
          <w:sz w:val="24"/>
          <w:szCs w:val="24"/>
        </w:rPr>
      </w:r>
      <w:r/>
    </w:p>
    <w:p>
      <w:pPr>
        <w:pStyle w:val="1148"/>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2.水产类必须鲜活，配送后现场活杀。 </w:t>
      </w:r>
      <w:r>
        <w:rPr>
          <w:rFonts w:ascii="宋体" w:hAnsi="宋体" w:eastAsia="宋体" w:cs="宋体"/>
          <w:b/>
          <w:bCs/>
          <w:color w:val="000000"/>
          <w:sz w:val="24"/>
          <w:szCs w:val="24"/>
        </w:rPr>
      </w:r>
      <w:r/>
    </w:p>
    <w:p>
      <w:pPr>
        <w:pStyle w:val="1148"/>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3.禽类、水产类不得提供冰冻原材料。 </w:t>
      </w:r>
      <w:r>
        <w:rPr>
          <w:rFonts w:ascii="宋体" w:hAnsi="宋体" w:eastAsia="宋体" w:cs="宋体"/>
          <w:b/>
          <w:bCs/>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4.蔬菜需粗加工（去泥、去黄叶、去根茎）。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5.活禽粗加工后按 35%损耗计算。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（四）包装及运输要求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1.包装与标志要求：包装容器(框、箱、袋)要求清洁、干燥、牢固、透气，无污染、 无异味、无霉变现象。每件包装必须按《农产品包装和标识管理办法》贴标签，并标明 产地、品种、净含量、生产单位及地址和采收日期（所有非规范包装或未包装的副食品， 均应贴有包括品名、重量等内容的标签，以供招标人查验；肉类、禽类、禽蛋类能提供动物检疫合格证明和合格标志，大块猪肉盖有蓝色的检疫合格验讫印章；蔬菜类提供农 药残留检测报告）。</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2.规格包装的产品交付时，必须原包装完好无破损，否则采购人有权拒收。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3.供应商进入供货地点的人员和运输工具，必须接受采购人统一管理，否则发生问题，由供应商承担责任。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4.运输要求：运输工具应清洁卫生无污染，并且要保持清洁和定期消毒。运输车厢的内仓，包括地面、墙面和顶，应使用抗腐蚀、防潮，易清洁消毒的材料。车厢内无不良气味、异味；运输途中严防日晒、雨淋，注意通风散热。食品堆放科学合理，避免造成食品的交叉污染；如对温度有要求的食品应确定食品的温度，记录送货车辆温度，并记录存档；深加工食品必须符合食品安全相关规定，存放及运输过程中应和其它菜品分开包装及堆放，包装袋（箱）应为食品专用袋（箱）。供应商自觉接受采购人及采购人有关职能部门的监督和指导。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5.成交供应商在从事原材料采购、运输及加工过程中，造成第三方人身伤亡或财产 损失，成交供应商负责处理及赔偿事宜，采购人不负责处理相关事宜。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（五）其他要求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1.肉类（主要指：猪肉、羊肉、牛肉等）、豆制品、调味品、必须使用品牌产品， 即由所处经营领域中有较高知名度与美誉度的大型企业提供，其产品可以经营场地追根 溯源。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2.采购人将委托权威部门不定期对成交供应商提供的食材进行检测。如检测发现质量问题，由成交供应商承担检测费用。 </w:t>
      </w:r>
      <w:r>
        <w:rPr>
          <w:rFonts w:ascii="宋体" w:hAnsi="宋体" w:eastAsia="宋体" w:cs="宋体"/>
          <w:b w:val="0"/>
          <w:bCs w:val="0"/>
          <w:color w:val="000000"/>
          <w:sz w:val="24"/>
          <w:szCs w:val="24"/>
        </w:rPr>
      </w:r>
      <w:r/>
    </w:p>
    <w:p>
      <w:pPr>
        <w:pStyle w:val="1148"/>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四、验收要求 </w:t>
      </w:r>
      <w:r>
        <w:rPr>
          <w:rFonts w:ascii="宋体" w:hAnsi="宋体" w:eastAsia="宋体" w:cs="宋体"/>
          <w:b/>
          <w:bCs/>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（一）验收方式：采购人每日组织验收小组现场验收。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1、提前或推迟送货，采购人有权拒绝验收签单。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2、供货方未能“供货数量要求”及“包装与标志要求”相关清单和证明，采购人 有权拒绝验收签单。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（二）现场验收开具验收单，内容包括日期、品名、数量验收人签字等，作为结算 凭证。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（三）所有配送食材现场验收，主要验收标准如下：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1.肉禽蛋、水产、冷冻食品类</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（1）猪肉：新鲜猪肉，肌肉红色均匀、有光泽，脂肪洁白，外表微干或微湿润，不沾手，弹性良好，压后凹陷立即恢复，具有鲜猪肉正常气味，无血污，无泥污，肉边 整齐，无碎肉，碎骨，按投标部位分割，精肉无多余脂肪，保证每块有检验检疫章。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牛肉：肌肉红色均匀、有光泽，脂肪呈淡黄色，外表微干或有风干膜，触摸不沾手，弹性好，指压后凹陷立即恢复，有新鲜牛肉正常气味，无泥污，无血污，肉边整齐，无碎肉，无碎骨，按标准部位分割，无多余脂肪及血管。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（3）羊肉：肌肉红色均匀、有光泽，脂肪呈淡黄色，外表微干或有风干膜，触摸不沾手，弹性好，指压后凹陷立即恢复，有新鲜羊肉正常气味，无泥污，无血污，肉边 整齐，无碎肉，无碎骨，按标准部位分割，无多余脂肪及血管。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（4）整鸡肉：主要采购三黄鸡及其他散养鸡，宰杀后每只净重量 2.5-3 斤，宰后 外观色泽光润，无异味，眼球饱满，皮肤有光泽，呈淡黄色或灰白色，肌肉切而发亮， 外表微干或微湿，不沾手，弹性良好， 指压后凹陷立即恢复，有正常气味，无长毛及毛、毛根，无血污，无杂质，无紫斑，净腔无淤血，禽腹内无过多脂肪，腹下刀口不过长，刀口整齐。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（5）鸡胸肉；无残羽，无血水、血污、残骨、溃烂，无多余脂肪，呈白色带有玫瑰色或红色。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（6）猪肝：红褐色或棕黄色，有光泽，湿润，略有弹性，组织结实， 微实，肝叶 完整，无脂肪，胆管无寄生虫，无胆汁污染。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（7）鲜鱼类：要求新鲜、淡水鱼是活鱼，眼睛光亮透明，眼珠凸出，鱼鳞光亮、整洁、紧贴鱼体，口腮紧闭、腮呈鲜红或紫红色，鱼体洁净、挺而不软弯度小、有弹性。 并免费提供宰杀加工服务。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（8）鲜虾类：新鲜活虾，头尾完整、有一定弯曲度，虾眼突起、虾身坚实，虾壳发亮、发硬呈青绿色或青白色。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（9）海鲜类（贝类、蟹类等）：蟹类：蟹腿坚实,肥壮,手捏有硬感，脐部饱满,体 重，翻扣在地上能很快翻转过来，外壳呈青色冷亮,腹部发白；贝类：肉质新鲜, 无臭味,两贝壳相碰发出实响,且响声均匀,在静水中会伸出触角，表面清洁完整，无寄生物, 外观完美,有光泽。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（10）腊肉：色泽鲜明，肌肉呈鲜红色或暗红色，脂肪透明或呈乳白色， 肉身干爽，结实，肌肉无灰暗无光，表面无霉点无粘液无酸败或其他异味。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（11）鸡蛋：要求新鲜，蛋壳表面干净完整、坚实，无异味、无破损。</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（12）咸鸭蛋：要求新鲜，蛋壳无裂纹、无霉变。</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 2.蔬菜类 要求按照相应生产技术标准生产,符合国家通用卫生标准并经有关部门认定的无公 害蔬菜,提供相关检验检测报告。分类标准如下：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（1）根茎类：个体均匀完整、无缺口损伤；不发芽、变色不黑心、糠心；无腐烂、 病虫害和农药残留。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（2）叶菜类：叶体完整、新鲜有光泽：质地脆嫩、无花斑叶、枯黄叶；无腐烂、 病虫害和农药残留。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（3）菇菌类：外形饱满无缺损、质地肥厚有光泽；干鲜适度；无腐烂、杂味。品质须达到一级以上,利用率达到 95%及以上。必须为当日新鲜蔬菜。部分品种标准为：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①白菜：色泽鲜爽，外表干爽无泥，外形整齐，大小均匀，包心紧实，用手握捏时手感坚实，根削平、无黄叶、枯老叶、烂叶，心部不腐烂， 无机械伤，无病害虫。</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 ②萝卜：要新鲜度好、高脚青品种，无糠心。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③土豆：要新鲜度好、大小均匀无斑点、个头 200 克以上的。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④圆白菜：要新鲜度好、大小均匀无烂叶、个头 1.5 公斤左右的。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⑤番茄：表面光滑，着色均匀，有四分之三变成红色或黄色，果实大而均匀饱满，果形圆正，不破裂，只允许果肩上部有轻微的环状裂痕或放射状裂痕，果肉充实，味道酸甜可口，无筋腐病、脐腐病和日烧病害和虫害，个头150克以上的。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⑥洋葱：要黄皮品种、大小均匀而不软、个头180克以上的。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⑦冬瓜：要黑色大个、无腐烂变质，整个的。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⑧黄瓜：新鲜，瓜体直，均匀整齐，无折断损伤，皮薄肉厚，清香爽脆，无苦味，无病虫害。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⑨长茄子：要表皮光滑、无疤痕、不空心、15 公分以上的</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⑩芹菜：要西芹品种、叶新鲜、不带根的。</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⑪</w:t>
      </w:r>
      <w:r>
        <w:rPr>
          <w:rFonts w:ascii="宋体" w:hAnsi="宋体" w:eastAsia="宋体" w:cs="宋体"/>
          <w:b w:val="0"/>
          <w:bCs w:val="0"/>
          <w:color w:val="000000"/>
          <w:sz w:val="24"/>
          <w:szCs w:val="24"/>
        </w:rPr>
        <w:t xml:space="preserve">胡萝卜：表皮光滑，色泽橙黄而鲜艳，体型粗细整齐，大小均匀，不分叉，不开裂，中心柱细小，其粗度不宜大于肉质根粗的四分之一， 质脆、味甜，无泥土、无伤口、无病害虫。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⑫</w:t>
      </w:r>
      <w:r>
        <w:rPr>
          <w:rFonts w:ascii="宋体" w:hAnsi="宋体" w:eastAsia="宋体" w:cs="宋体"/>
          <w:b w:val="0"/>
          <w:bCs w:val="0"/>
          <w:color w:val="000000"/>
          <w:sz w:val="24"/>
          <w:szCs w:val="24"/>
        </w:rPr>
        <w:t xml:space="preserve">莴笋：色泽鲜艳，茎长而不断，粗大均匀，茎皮光滑不开裂，皮薄汁多，纤维少，无苦味及其他不良异味，无老根、无黄叶、无病害虫、无糠心、不空心。</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⑬</w:t>
      </w:r>
      <w:r>
        <w:rPr>
          <w:rFonts w:ascii="宋体" w:hAnsi="宋体" w:eastAsia="宋体" w:cs="宋体"/>
          <w:b w:val="0"/>
          <w:bCs w:val="0"/>
          <w:color w:val="000000"/>
          <w:sz w:val="24"/>
          <w:szCs w:val="24"/>
        </w:rPr>
        <w:t xml:space="preserve">姜：姜块完整、丰满结实、无损伤，辣味强，无姜腐病，不带枯苗和泥土，无焦 皮、不皱缩、无黑心、无糠心现象，不烂牙。</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 </w:t>
      </w:r>
      <w:r>
        <w:rPr>
          <w:rFonts w:ascii="MS-PGothic" w:hAnsi="MS-PGothic" w:eastAsia="MS-PGothic" w:cs="MS-PGothic"/>
          <w:b w:val="0"/>
          <w:bCs w:val="0"/>
          <w:color w:val="000000"/>
          <w:sz w:val="24"/>
          <w:szCs w:val="24"/>
        </w:rPr>
        <w:t xml:space="preserve">⑭</w:t>
      </w:r>
      <w:r>
        <w:rPr>
          <w:rFonts w:ascii="宋体" w:hAnsi="宋体" w:eastAsia="宋体" w:cs="宋体"/>
          <w:b w:val="0"/>
          <w:bCs w:val="0"/>
          <w:color w:val="000000"/>
          <w:sz w:val="24"/>
          <w:szCs w:val="24"/>
        </w:rPr>
        <w:t xml:space="preserve">花椰菜：花球洁白，脆嫩，色泽好，花球紧实，握之有重量感，无茸毛，可带 4-5 片嫩叶，菜形端正，近似圆形或扁圆形，无机械损伤，球面干净无玷污、无害虫、无霉斑。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⑮</w:t>
      </w:r>
      <w:r>
        <w:rPr>
          <w:rFonts w:ascii="宋体" w:hAnsi="宋体" w:eastAsia="宋体" w:cs="宋体"/>
          <w:b w:val="0"/>
          <w:bCs w:val="0"/>
          <w:color w:val="000000"/>
          <w:sz w:val="24"/>
          <w:szCs w:val="24"/>
        </w:rPr>
        <w:t xml:space="preserve">菠菜：色泽鲜嫩翠绿，无枯黄叶和花斑叶，植株健壮，整齐而不断，捆扎成捆， 根上无泥，捆内无杂物，不抽苔，无烂叶。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⑯</w:t>
      </w:r>
      <w:r>
        <w:rPr>
          <w:rFonts w:ascii="宋体" w:hAnsi="宋体" w:eastAsia="宋体" w:cs="宋体"/>
          <w:b w:val="0"/>
          <w:bCs w:val="0"/>
          <w:color w:val="000000"/>
          <w:sz w:val="24"/>
          <w:szCs w:val="24"/>
        </w:rPr>
        <w:t xml:space="preserve">鲜葱：新鲜青绿，无枯、焦、烂叶，葱株粗壮匀称、影实，无折断，扎成捆，葱 白长，管状叶短，干净，无泥无水，根部不腐烂。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⑰</w:t>
      </w:r>
      <w:r>
        <w:rPr>
          <w:rFonts w:ascii="宋体" w:hAnsi="宋体" w:eastAsia="宋体" w:cs="宋体"/>
          <w:b w:val="0"/>
          <w:bCs w:val="0"/>
          <w:color w:val="000000"/>
          <w:sz w:val="24"/>
          <w:szCs w:val="24"/>
        </w:rPr>
        <w:t xml:space="preserve">大葱：葱株粗壮均匀，无折断破裂，叶干燥，不霉烂，不抽新叶，葱白无冻害， 不腐烂。 </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⑱</w:t>
      </w:r>
      <w:r>
        <w:rPr>
          <w:rFonts w:ascii="宋体" w:hAnsi="宋体" w:eastAsia="宋体" w:cs="宋体"/>
          <w:b w:val="0"/>
          <w:bCs w:val="0"/>
          <w:color w:val="000000"/>
          <w:sz w:val="24"/>
          <w:szCs w:val="24"/>
        </w:rPr>
        <w:t xml:space="preserve">蒜苗：叶片鲜嫩青绿（蒜黄为嫩黄色），茎长且鲜嫩雪白，株棵完整粗状，无折 断，叶片不干枯，无斑点，蒜苗干净无泥土。</w:t>
      </w:r>
      <w:r>
        <w:rPr>
          <w:rFonts w:ascii="宋体" w:hAnsi="宋体" w:eastAsia="宋体" w:cs="宋体"/>
          <w:b w:val="0"/>
          <w:bCs w:val="0"/>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⑲</w:t>
      </w:r>
      <w:r>
        <w:rPr>
          <w:rFonts w:ascii="宋体" w:hAnsi="宋体" w:eastAsia="宋体" w:cs="宋体"/>
          <w:b w:val="0"/>
          <w:bCs w:val="0"/>
          <w:color w:val="000000"/>
          <w:sz w:val="24"/>
          <w:szCs w:val="24"/>
        </w:rPr>
        <w:t xml:space="preserve">蒜苔：色泽青绿脆嫩，干净无水，苔梗粗状而均匀，柔软且基部不老化，苔苞小， 不膨大，不带叶鞘，无划苔，无斑点，无病害虫，不腐烂。 </w:t>
      </w:r>
      <w:r>
        <w:rPr>
          <w:rFonts w:ascii="宋体" w:hAnsi="宋体" w:eastAsia="宋体" w:cs="宋体"/>
          <w:b w:val="0"/>
          <w:bCs w:val="0"/>
          <w:color w:val="000000"/>
          <w:sz w:val="24"/>
          <w:szCs w:val="24"/>
        </w:rPr>
      </w:r>
      <w:r/>
    </w:p>
    <w:p>
      <w:pPr>
        <w:pStyle w:val="1148"/>
        <w:numPr>
          <w:ilvl w:val="0"/>
          <w:numId w:val="18"/>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豆制品 </w:t>
      </w:r>
      <w:r>
        <w:rPr>
          <w:rFonts w:ascii="宋体" w:hAnsi="宋体" w:eastAsia="宋体" w:cs="宋体"/>
          <w:b w:val="0"/>
          <w:bCs w:val="0"/>
          <w:color w:val="000000"/>
          <w:sz w:val="24"/>
          <w:szCs w:val="24"/>
        </w:rPr>
      </w:r>
      <w:r/>
    </w:p>
    <w:p>
      <w:pPr>
        <w:pStyle w:val="1148"/>
        <w:numPr>
          <w:ilvl w:val="0"/>
          <w:numId w:val="19"/>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豆腐：呈均匀的乳白色或淡黄色，稍有光泽。块形完整，软硬适度，富有一定的弹性，质地细腻，结构均匀，无杂质。有豆腐特有的香味。口感细腻鲜嫩， </w:t>
      </w:r>
      <w:r>
        <w:rPr>
          <w:rFonts w:ascii="宋体" w:hAnsi="宋体" w:eastAsia="宋体" w:cs="宋体"/>
          <w:b w:val="0"/>
          <w:bCs w:val="0"/>
          <w:color w:val="000000"/>
          <w:sz w:val="24"/>
          <w:szCs w:val="24"/>
        </w:rPr>
      </w:r>
      <w:r/>
    </w:p>
    <w:p>
      <w:pPr>
        <w:pStyle w:val="1148"/>
        <w:numPr>
          <w:ilvl w:val="0"/>
          <w:numId w:val="19"/>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豆腐皮：呈均匀一致的白色或淡黄色，有光泽。组织结构紧密细腻，富有韧性，软硬适度，薄厚度均匀一致，不粘手，无杂质。具有豆腐皮固有的清香味，无其他任何不良气味。 </w:t>
      </w:r>
      <w:r>
        <w:rPr>
          <w:rFonts w:ascii="宋体" w:hAnsi="宋体" w:eastAsia="宋体" w:cs="宋体"/>
          <w:b w:val="0"/>
          <w:bCs w:val="0"/>
          <w:color w:val="000000"/>
          <w:sz w:val="24"/>
          <w:szCs w:val="24"/>
        </w:rPr>
      </w:r>
      <w:r/>
    </w:p>
    <w:p>
      <w:pPr>
        <w:pStyle w:val="1148"/>
        <w:numPr>
          <w:ilvl w:val="0"/>
          <w:numId w:val="19"/>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腐竹：呈淡黄色，有光泽。为枝条或片叶状，质脆易折，条状折断有空心， 无霉斑、杂质、虫蛀。有腐竹固有的香气和滋味，无其他任何异味。 </w:t>
      </w:r>
      <w:r>
        <w:rPr>
          <w:rFonts w:ascii="宋体" w:hAnsi="宋体" w:eastAsia="宋体" w:cs="宋体"/>
          <w:b w:val="0"/>
          <w:bCs w:val="0"/>
          <w:color w:val="000000"/>
          <w:sz w:val="24"/>
          <w:szCs w:val="24"/>
        </w:rPr>
      </w:r>
      <w:r/>
    </w:p>
    <w:p>
      <w:pPr>
        <w:pStyle w:val="1148"/>
        <w:numPr>
          <w:ilvl w:val="0"/>
          <w:numId w:val="18"/>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干货调料类 </w:t>
      </w:r>
      <w:r>
        <w:rPr>
          <w:rFonts w:ascii="宋体" w:hAnsi="宋体" w:eastAsia="宋体" w:cs="宋体"/>
          <w:b w:val="0"/>
          <w:bCs w:val="0"/>
          <w:color w:val="000000"/>
          <w:sz w:val="24"/>
          <w:szCs w:val="24"/>
        </w:rPr>
      </w:r>
      <w:r/>
    </w:p>
    <w:p>
      <w:pPr>
        <w:pStyle w:val="1148"/>
        <w:numPr>
          <w:ilvl w:val="0"/>
          <w:numId w:val="2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rPr>
        <w:t xml:space="preserve">要求调料干货类：提供的产品不得临近保质期,且包装完好无破损</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1148"/>
        <w:numPr>
          <w:ilvl w:val="0"/>
          <w:numId w:val="2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冷冻类及干货应保持较好的外观和质量等级,无霉烂变质。糖、味精、酱油、醋、生粉等必须具 有“Qs“食品质量认证标志；</w:t>
      </w:r>
      <w:r>
        <w:rPr>
          <w:rFonts w:ascii="宋体" w:hAnsi="宋体" w:eastAsia="宋体" w:cs="宋体"/>
          <w:b w:val="0"/>
          <w:bCs w:val="0"/>
          <w:color w:val="000000"/>
          <w:sz w:val="24"/>
          <w:szCs w:val="24"/>
        </w:rPr>
      </w:r>
      <w:r/>
    </w:p>
    <w:p>
      <w:pPr>
        <w:pStyle w:val="1148"/>
        <w:numPr>
          <w:ilvl w:val="0"/>
          <w:numId w:val="2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大豆油必须完全达到或优于 GB25190-2003《大豆油》国家标准,且为非转基因大豆油,部分招标品种标准为：桂皮：质地质硬而脆，易折断。外表呈灰棕色，稍粗糙，有不规则细皱纹和突起物，内表红棕色、平滑，有细纹路，划之有油痕，断面外层棕色，内层红棕色而油润，近外层有一条淡黄棕色外纹。水浸后无沾液、醇浸液淡黄色。气香浓烈，味甜、辣。</w:t>
      </w:r>
      <w:r>
        <w:rPr>
          <w:rFonts w:ascii="宋体" w:hAnsi="宋体" w:eastAsia="宋体" w:cs="宋体"/>
          <w:b w:val="0"/>
          <w:bCs w:val="0"/>
          <w:color w:val="000000"/>
          <w:sz w:val="24"/>
          <w:szCs w:val="24"/>
        </w:rPr>
      </w:r>
      <w:r/>
    </w:p>
    <w:p>
      <w:pPr>
        <w:pStyle w:val="1148"/>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干辣椒：要求颜色为红色或红黄色，干燥、不粘手、不结块，油润均匀。 </w:t>
      </w:r>
      <w:r>
        <w:rPr>
          <w:rFonts w:ascii="宋体" w:hAnsi="宋体" w:eastAsia="宋体" w:cs="宋体"/>
          <w:b w:val="0"/>
          <w:bCs w:val="0"/>
          <w:color w:val="000000"/>
          <w:sz w:val="24"/>
          <w:szCs w:val="24"/>
        </w:rPr>
      </w:r>
      <w:r/>
    </w:p>
    <w:p>
      <w:pPr>
        <w:pStyle w:val="1148"/>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辣椒粉：红色或红黄色，油润而均匀的粉末，有辣椒固有的辣香味，闻之刺鼻，打喷嚏。不呈转红色，无肉眼可见大量木屑样物或绿色的叶子碎渣。 </w:t>
      </w:r>
      <w:r>
        <w:rPr>
          <w:rFonts w:ascii="宋体" w:hAnsi="宋体" w:eastAsia="宋体" w:cs="宋体"/>
          <w:b w:val="0"/>
          <w:bCs w:val="0"/>
          <w:color w:val="000000"/>
          <w:sz w:val="24"/>
          <w:szCs w:val="24"/>
        </w:rPr>
      </w:r>
      <w:r/>
    </w:p>
    <w:p>
      <w:pPr>
        <w:pStyle w:val="1148"/>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淀粉：要洁白而有光泽，无杂质；容易松散，且指感润滑。 </w:t>
      </w:r>
      <w:r>
        <w:rPr>
          <w:rFonts w:ascii="宋体" w:hAnsi="宋体" w:eastAsia="宋体" w:cs="宋体"/>
          <w:b w:val="0"/>
          <w:bCs w:val="0"/>
          <w:color w:val="000000"/>
          <w:sz w:val="24"/>
          <w:szCs w:val="24"/>
        </w:rPr>
      </w:r>
      <w:r/>
    </w:p>
    <w:p>
      <w:pPr>
        <w:pStyle w:val="1148"/>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干海米：体表鲜艳发亮发黄或浅红色，体形弯曲，体净肉肥，无贴皮，无窝心爪，无空头虾。虾米大小匀称，无杂质和其他鱼虾。 </w:t>
      </w:r>
      <w:r>
        <w:rPr>
          <w:rFonts w:ascii="宋体" w:hAnsi="宋体" w:eastAsia="宋体" w:cs="宋体"/>
          <w:b w:val="0"/>
          <w:bCs w:val="0"/>
          <w:color w:val="000000"/>
          <w:sz w:val="24"/>
          <w:szCs w:val="24"/>
        </w:rPr>
      </w:r>
      <w:r/>
    </w:p>
    <w:p>
      <w:pPr>
        <w:pStyle w:val="1148"/>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花椒：果实干燥、不含籽粒、无椒柄、大而均匀、香味浓、麻辣味足。壳色红艳油润，果实开口而不含有籽粒或含极少量籽粒，整洁无枝干，不破碎。用手抓有糙硬、刺手干爽之感，亲捏易碎。 </w:t>
      </w:r>
      <w:r>
        <w:rPr>
          <w:rFonts w:ascii="宋体" w:hAnsi="宋体" w:eastAsia="宋体" w:cs="宋体"/>
          <w:b w:val="0"/>
          <w:bCs w:val="0"/>
          <w:color w:val="000000"/>
          <w:sz w:val="24"/>
          <w:szCs w:val="24"/>
        </w:rPr>
      </w:r>
      <w:r/>
    </w:p>
    <w:p>
      <w:pPr>
        <w:pStyle w:val="1148"/>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大料：颗粒整齐完整，棕红色并有光泽，朵大饱满，荚边开裂缝较大，能看到荚内明亮的籽粒。手抓八角有刺手和干脆之感，香味浓烈。 </w:t>
      </w:r>
      <w:r>
        <w:rPr>
          <w:rFonts w:ascii="宋体" w:hAnsi="宋体" w:eastAsia="宋体" w:cs="宋体"/>
          <w:b w:val="0"/>
          <w:bCs w:val="0"/>
          <w:color w:val="000000"/>
          <w:sz w:val="24"/>
          <w:szCs w:val="24"/>
        </w:rPr>
      </w:r>
      <w:r/>
    </w:p>
    <w:p>
      <w:pPr>
        <w:pStyle w:val="1148"/>
        <w:numPr>
          <w:ilvl w:val="0"/>
          <w:numId w:val="18"/>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水产类提供的水产品须符合采购方的采购要求,活鲜类确保新鲜,冰鲜类确保质量,有鲜鱼虾的正常腥味,无腐烂异味。冷冻类及干货应保持较好的外观和质量等级,无霉烂变质, 且符合食品卫生安全法要求。 </w:t>
      </w:r>
      <w:r>
        <w:rPr>
          <w:rFonts w:ascii="宋体" w:hAnsi="宋体" w:eastAsia="宋体" w:cs="宋体"/>
          <w:b w:val="0"/>
          <w:bCs w:val="0"/>
          <w:color w:val="000000"/>
          <w:sz w:val="24"/>
          <w:szCs w:val="24"/>
        </w:rPr>
      </w:r>
      <w:r/>
    </w:p>
    <w:p>
      <w:pPr>
        <w:pStyle w:val="1148"/>
        <w:numPr>
          <w:ilvl w:val="0"/>
          <w:numId w:val="21"/>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其他要求 </w:t>
      </w:r>
      <w:r>
        <w:rPr>
          <w:rFonts w:ascii="宋体" w:hAnsi="宋体" w:eastAsia="宋体" w:cs="宋体"/>
          <w:b w:val="0"/>
          <w:bCs w:val="0"/>
          <w:color w:val="000000"/>
          <w:sz w:val="24"/>
          <w:szCs w:val="24"/>
        </w:rPr>
      </w:r>
      <w:r/>
    </w:p>
    <w:p>
      <w:pPr>
        <w:pStyle w:val="1148"/>
        <w:numPr>
          <w:ilvl w:val="0"/>
          <w:numId w:val="22"/>
        </w:numPr>
        <w:ind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如配送的货物或服务不符合要求，一次提出口头警告并要求供应商做出书面保 证，二次扣当天货款10%</w:t>
      </w:r>
      <w:r>
        <w:rPr>
          <w:rFonts w:hint="eastAsia" w:ascii="宋体" w:hAnsi="宋体" w:eastAsia="宋体" w:cs="宋体"/>
          <w:b w:val="0"/>
          <w:bCs w:val="0"/>
          <w:color w:val="000000"/>
          <w:sz w:val="24"/>
          <w:szCs w:val="24"/>
          <w:lang w:eastAsia="zh-CN"/>
        </w:rPr>
        <w:t xml:space="preserve">，</w:t>
      </w:r>
      <w:r>
        <w:rPr>
          <w:rFonts w:ascii="宋体" w:hAnsi="宋体" w:eastAsia="宋体" w:cs="宋体"/>
          <w:b w:val="0"/>
          <w:bCs w:val="0"/>
          <w:color w:val="000000"/>
          <w:sz w:val="24"/>
          <w:szCs w:val="24"/>
        </w:rPr>
        <w:t xml:space="preserve">不符合要求达到三次的，采购人有权解除供货合同。</w:t>
      </w:r>
      <w:r>
        <w:rPr>
          <w:rFonts w:ascii="宋体" w:hAnsi="宋体" w:eastAsia="宋体" w:cs="宋体"/>
          <w:b w:val="0"/>
          <w:bCs w:val="0"/>
          <w:color w:val="000000"/>
          <w:sz w:val="24"/>
          <w:szCs w:val="24"/>
        </w:rPr>
      </w:r>
      <w:r/>
    </w:p>
    <w:p>
      <w:pPr>
        <w:pStyle w:val="1148"/>
        <w:numPr>
          <w:ilvl w:val="0"/>
          <w:numId w:val="22"/>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采购人有权委托权威部门定期对配送单位提供的食材进行检测。如检测发现质量 问题，由成交供应商承担检测费用。 </w:t>
      </w:r>
      <w:r>
        <w:rPr>
          <w:rFonts w:ascii="宋体" w:hAnsi="宋体" w:eastAsia="宋体" w:cs="宋体"/>
          <w:b w:val="0"/>
          <w:bCs w:val="0"/>
          <w:color w:val="000000"/>
          <w:sz w:val="24"/>
          <w:szCs w:val="24"/>
        </w:rPr>
      </w:r>
      <w:r/>
    </w:p>
    <w:p>
      <w:pPr>
        <w:pStyle w:val="1148"/>
        <w:numPr>
          <w:ilvl w:val="0"/>
          <w:numId w:val="22"/>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在供货过程中，采购人对所供货物有任何意见，可随时向供应商反映，成交供应商应及时改进，否则，采购人有权中断与成交供应商的合作</w:t>
      </w:r>
      <w:r>
        <w:rPr>
          <w:rFonts w:ascii="宋体" w:hAnsi="宋体" w:eastAsia="宋体" w:cs="宋体"/>
          <w:b w:val="0"/>
          <w:bCs w:val="0"/>
          <w:color w:val="000000"/>
          <w:sz w:val="24"/>
          <w:szCs w:val="24"/>
        </w:rPr>
        <w:t xml:space="preserve">，一方终止合同须提前十五天通知对方。 </w:t>
      </w:r>
      <w:r>
        <w:rPr>
          <w:rFonts w:ascii="宋体" w:hAnsi="宋体" w:eastAsia="宋体" w:cs="宋体"/>
          <w:b w:val="0"/>
          <w:bCs w:val="0"/>
          <w:color w:val="000000"/>
          <w:sz w:val="24"/>
          <w:szCs w:val="24"/>
        </w:rPr>
      </w:r>
      <w:r/>
    </w:p>
    <w:p>
      <w:pPr>
        <w:pStyle w:val="1148"/>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五、</w:t>
      </w:r>
      <w:r>
        <w:rPr>
          <w:rFonts w:ascii="宋体" w:hAnsi="宋体" w:eastAsia="宋体" w:cs="宋体"/>
          <w:b/>
          <w:bCs/>
          <w:color w:val="000000"/>
          <w:sz w:val="24"/>
          <w:szCs w:val="24"/>
        </w:rPr>
        <w:t xml:space="preserve">结算及付款方式</w:t>
      </w:r>
      <w:r>
        <w:rPr>
          <w:rFonts w:ascii="宋体" w:hAnsi="宋体" w:eastAsia="宋体" w:cs="宋体"/>
          <w:b/>
          <w:bCs/>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val="0"/>
          <w:bCs w:val="0"/>
          <w:color w:val="000000"/>
          <w:sz w:val="24"/>
          <w:szCs w:val="24"/>
        </w:rPr>
        <w:t xml:space="preserve">1.结算方式：</w:t>
      </w:r>
      <w:r>
        <w:rPr>
          <w:rFonts w:ascii="宋体" w:hAnsi="宋体" w:eastAsia="宋体" w:cs="宋体"/>
          <w:b/>
          <w:bCs/>
          <w:color w:val="000000"/>
          <w:sz w:val="24"/>
          <w:szCs w:val="24"/>
        </w:rPr>
        <w:t xml:space="preserve">根据凌家塘官网当日菜价公示中间价*（1-成交优惠率）</w:t>
      </w:r>
      <w:r>
        <w:rPr>
          <w:rFonts w:ascii="宋体" w:hAnsi="宋体" w:eastAsia="宋体" w:cs="宋体"/>
          <w:b w:val="0"/>
          <w:bCs w:val="0"/>
          <w:color w:val="000000"/>
          <w:sz w:val="24"/>
          <w:szCs w:val="24"/>
        </w:rPr>
        <w:t xml:space="preserve">按实结算； 如凌家塘官网无公示的，则以大润发优鲜APP公示的零售价为准；如大润发优鲜APP也无公示，则以常州价格通官网公示的平价商店每日菜价为准；</w:t>
      </w:r>
      <w:r>
        <w:rPr>
          <w:rFonts w:ascii="宋体" w:hAnsi="宋体" w:eastAsia="宋体" w:cs="宋体"/>
          <w:b/>
          <w:bCs/>
          <w:color w:val="000000"/>
          <w:sz w:val="24"/>
          <w:szCs w:val="24"/>
        </w:rPr>
        <w:t xml:space="preserve">如果三处网站均无所需物品，则双方协商确认价格。</w:t>
      </w:r>
      <w:r>
        <w:rPr>
          <w:rFonts w:ascii="宋体" w:hAnsi="宋体" w:eastAsia="宋体" w:cs="宋体"/>
          <w:b/>
          <w:bCs/>
          <w:color w:val="000000"/>
          <w:sz w:val="24"/>
          <w:szCs w:val="24"/>
        </w:rPr>
      </w:r>
      <w:r/>
    </w:p>
    <w:p>
      <w:pPr>
        <w:pStyle w:val="1148"/>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2.按食材价格定价方式确定的配送价格进行按实结算。具体为采购人每月底与成交 供应商结算上一月货款，并进入支付环节。成交供应商需开具正规的税务发票并及时送 达采购人，逾期产生的责任由成交供应商承担。采购人按配送批次结算货款。结算前成 交供应商需向采购人提供国家正式税务发票、送货凭证等。</w:t>
      </w:r>
      <w:r>
        <w:rPr>
          <w:rFonts w:ascii="宋体" w:hAnsi="宋体" w:eastAsia="宋体" w:cs="宋体"/>
          <w:b w:val="0"/>
          <w:bCs w:val="0"/>
          <w:color w:val="000000"/>
          <w:sz w:val="24"/>
          <w:szCs w:val="24"/>
        </w:rPr>
      </w:r>
      <w:r/>
    </w:p>
    <w:p>
      <w:pPr>
        <w:pStyle w:val="1148"/>
        <w:numPr>
          <w:ilvl w:val="0"/>
          <w:numId w:val="0"/>
        </w:numPr>
        <w:rPr>
          <w:rFonts w:ascii="宋体" w:hAnsi="宋体" w:eastAsia="宋体" w:cs="宋体"/>
          <w:b/>
          <w:bCs/>
          <w:color w:val="000000"/>
          <w:sz w:val="24"/>
          <w:szCs w:val="24"/>
        </w:rPr>
      </w:pPr>
      <w:r>
        <w:rPr>
          <w:rFonts w:ascii="宋体" w:hAnsi="宋体" w:eastAsia="宋体" w:cs="宋体"/>
          <w:b w:val="0"/>
          <w:bCs w:val="0"/>
          <w:color w:val="000000"/>
          <w:sz w:val="24"/>
          <w:szCs w:val="24"/>
        </w:rPr>
        <w:br w:type="page" w:clear="all"/>
      </w:r>
      <w:r>
        <w:rPr>
          <w:rFonts w:ascii="宋体" w:hAnsi="宋体" w:eastAsia="宋体" w:cs="宋体"/>
          <w:b/>
          <w:bCs/>
          <w:color w:val="000000"/>
          <w:sz w:val="24"/>
          <w:szCs w:val="24"/>
        </w:rPr>
      </w:r>
      <w:r/>
    </w:p>
    <w:p>
      <w:pPr>
        <w:pStyle w:val="1136"/>
        <w:numPr>
          <w:ilvl w:val="0"/>
          <w:numId w:val="0"/>
        </w:numPr>
        <w:jc w:val="center"/>
        <w:spacing w:line="360" w:lineRule="auto"/>
        <w:rPr>
          <w:b/>
          <w:sz w:val="36"/>
          <w:szCs w:val="36"/>
        </w:rPr>
        <w:outlineLvl w:val="0"/>
      </w:pPr>
      <w:r>
        <w:rPr>
          <w:b/>
          <w:sz w:val="36"/>
          <w:szCs w:val="36"/>
        </w:rPr>
        <w:t xml:space="preserve">第五章   合同</w:t>
      </w:r>
      <w:r>
        <w:rPr>
          <w:rFonts w:hint="eastAsia"/>
          <w:b/>
          <w:sz w:val="36"/>
          <w:szCs w:val="36"/>
        </w:rPr>
        <w:t xml:space="preserve">主要</w:t>
      </w:r>
      <w:r>
        <w:rPr>
          <w:b/>
          <w:sz w:val="36"/>
          <w:szCs w:val="36"/>
        </w:rPr>
        <w:t xml:space="preserve">条款</w:t>
      </w:r>
      <w:bookmarkEnd w:id="662"/>
      <w:r/>
      <w:bookmarkEnd w:id="663"/>
      <w:r>
        <w:rPr>
          <w:b/>
          <w:sz w:val="36"/>
          <w:szCs w:val="36"/>
        </w:rPr>
      </w:r>
      <w:r/>
    </w:p>
    <w:p>
      <w:pPr>
        <w:pStyle w:val="1136"/>
        <w:spacing w:line="360" w:lineRule="auto"/>
        <w:tabs>
          <w:tab w:val="left" w:pos="900" w:leader="none"/>
          <w:tab w:val="left" w:pos="1080" w:leader="none"/>
        </w:tabs>
        <w:rPr>
          <w:sz w:val="18"/>
          <w:szCs w:val="18"/>
        </w:rPr>
      </w:pPr>
      <w:r>
        <w:rPr>
          <w:sz w:val="18"/>
          <w:szCs w:val="18"/>
        </w:rPr>
      </w:r>
      <w:r/>
    </w:p>
    <w:p>
      <w:pPr>
        <w:pStyle w:val="1136"/>
        <w:ind w:firstLine="482"/>
        <w:rPr>
          <w:rFonts w:hint="eastAsia" w:ascii="宋体" w:hAnsi="宋体" w:eastAsia="宋体" w:cs="宋体"/>
          <w:b/>
          <w:sz w:val="24"/>
          <w:szCs w:val="24"/>
          <w:u w:val="single"/>
        </w:rPr>
      </w:pPr>
      <w:r>
        <w:rPr>
          <w:rFonts w:hint="eastAsia" w:ascii="宋体" w:hAnsi="宋体" w:eastAsia="宋体" w:cs="宋体"/>
          <w:b/>
          <w:sz w:val="24"/>
          <w:szCs w:val="24"/>
        </w:rPr>
        <w:t xml:space="preserve">甲方：                               </w:t>
      </w:r>
      <w:r>
        <w:rPr>
          <w:rFonts w:hint="eastAsia" w:ascii="宋体" w:hAnsi="宋体" w:eastAsia="宋体" w:cs="宋体"/>
          <w:bCs/>
          <w:sz w:val="24"/>
          <w:szCs w:val="24"/>
        </w:rPr>
        <w:t xml:space="preserve">签订时间：</w:t>
      </w:r>
      <w:r>
        <w:rPr>
          <w:rFonts w:hint="eastAsia" w:ascii="宋体" w:hAnsi="宋体" w:eastAsia="宋体" w:cs="宋体"/>
          <w:b/>
          <w:sz w:val="24"/>
          <w:szCs w:val="24"/>
          <w:u w:val="single"/>
        </w:rPr>
        <w:t xml:space="preserve">    年    月    日</w:t>
      </w:r>
      <w:r>
        <w:rPr>
          <w:rFonts w:hint="eastAsia" w:ascii="宋体" w:hAnsi="宋体" w:eastAsia="宋体" w:cs="宋体"/>
          <w:b/>
          <w:sz w:val="24"/>
          <w:szCs w:val="24"/>
          <w:u w:val="single"/>
        </w:rPr>
      </w:r>
      <w:r/>
    </w:p>
    <w:p>
      <w:pPr>
        <w:pStyle w:val="1136"/>
        <w:ind w:firstLine="482"/>
        <w:jc w:val="left"/>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乙方：                               </w:t>
      </w:r>
      <w:r>
        <w:rPr>
          <w:rFonts w:hint="eastAsia" w:ascii="宋体" w:hAnsi="宋体" w:eastAsia="宋体" w:cs="宋体"/>
          <w:sz w:val="24"/>
          <w:szCs w:val="24"/>
        </w:rPr>
        <w:t xml:space="preserve">项目编号：                </w:t>
      </w:r>
      <w:r>
        <w:rPr>
          <w:rFonts w:hint="eastAsia" w:ascii="宋体" w:hAnsi="宋体" w:eastAsia="宋体" w:cs="宋体"/>
          <w:b/>
          <w:sz w:val="24"/>
          <w:szCs w:val="24"/>
          <w:u w:val="single"/>
        </w:rPr>
        <w:t xml:space="preserve">号</w:t>
      </w:r>
      <w:r>
        <w:rPr>
          <w:rFonts w:hint="eastAsia" w:ascii="宋体" w:hAnsi="宋体" w:eastAsia="宋体" w:cs="宋体"/>
          <w:b/>
          <w:sz w:val="24"/>
          <w:szCs w:val="24"/>
          <w:u w:val="single"/>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6"/>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甲、乙双方就乙方中标的项目</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本着平等互利的原则，通过共同协商，根据</w:t>
      </w:r>
      <w:r>
        <w:rPr>
          <w:rFonts w:hint="eastAsia" w:ascii="宋体" w:hAnsi="宋体" w:eastAsia="宋体" w:cs="宋体"/>
          <w:bCs/>
          <w:sz w:val="24"/>
          <w:szCs w:val="24"/>
        </w:rPr>
        <w:t xml:space="preserve">《中华人民共和国民法典》</w:t>
      </w:r>
      <w:r>
        <w:rPr>
          <w:rFonts w:hint="eastAsia" w:ascii="宋体" w:hAnsi="宋体" w:eastAsia="宋体" w:cs="宋体"/>
          <w:sz w:val="24"/>
          <w:szCs w:val="24"/>
        </w:rPr>
        <w:t xml:space="preserve">及有关法律法规，就相关事宜达成如下合同。</w:t>
      </w:r>
      <w:r>
        <w:rPr>
          <w:rFonts w:hint="eastAsia" w:ascii="宋体" w:hAnsi="宋体" w:eastAsia="宋体" w:cs="宋体"/>
          <w:b/>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一、总则             </w:t>
      </w:r>
      <w:r>
        <w:rPr>
          <w:rFonts w:hint="eastAsia" w:ascii="宋体" w:hAnsi="宋体" w:eastAsia="宋体" w:cs="宋体"/>
          <w:b/>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乙方按甲方要求，为甲方提供的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项目服务，服务具体内容及要求详见合同文件。</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二、合同文件：</w:t>
      </w:r>
      <w:r>
        <w:rPr>
          <w:rFonts w:hint="eastAsia" w:ascii="宋体" w:hAnsi="宋体" w:eastAsia="宋体" w:cs="宋体"/>
          <w:b/>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下列文件是构成合同不可分割的部分，并与本合同具有同等法律效力，</w:t>
      </w:r>
      <w:r>
        <w:rPr>
          <w:rFonts w:hint="eastAsia" w:ascii="宋体" w:hAnsi="宋体" w:eastAsia="宋体" w:cs="宋体"/>
          <w:bCs/>
          <w:sz w:val="24"/>
          <w:szCs w:val="24"/>
        </w:rPr>
        <w:t xml:space="preserve">这些文件包括但不限于：</w:t>
      </w:r>
      <w:r>
        <w:rPr>
          <w:rFonts w:hint="eastAsia" w:ascii="宋体" w:hAnsi="宋体" w:eastAsia="宋体" w:cs="宋体"/>
          <w:sz w:val="24"/>
          <w:szCs w:val="24"/>
        </w:rPr>
      </w:r>
      <w:r/>
    </w:p>
    <w:p>
      <w:pPr>
        <w:pStyle w:val="1136"/>
        <w:numPr>
          <w:ilvl w:val="0"/>
          <w:numId w:val="23"/>
        </w:num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号采购文件。</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2、乙方提交的投标文件。</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3、乙方投标的其他资料及承诺。</w:t>
      </w:r>
      <w:r>
        <w:rPr>
          <w:rFonts w:hint="eastAsia" w:ascii="宋体" w:hAnsi="宋体" w:eastAsia="宋体" w:cs="宋体"/>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三、质量保证和服务承诺：</w:t>
      </w:r>
      <w:r>
        <w:rPr>
          <w:rFonts w:hint="eastAsia" w:ascii="宋体" w:hAnsi="宋体" w:eastAsia="宋体" w:cs="宋体"/>
          <w:b/>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乙方所提供的服务必须符合国家有关标准和号采购文件（含技术说明）和投标文件的要求。</w:t>
      </w:r>
      <w:r>
        <w:rPr>
          <w:rFonts w:hint="eastAsia" w:ascii="宋体" w:hAnsi="宋体" w:eastAsia="宋体" w:cs="宋体"/>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四、服务时间</w:t>
      </w:r>
      <w:r>
        <w:rPr>
          <w:rFonts w:hint="eastAsia" w:ascii="宋体" w:hAnsi="宋体" w:eastAsia="宋体" w:cs="宋体"/>
          <w:b/>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项目时间:</w:t>
      </w:r>
      <w:r>
        <w:rPr>
          <w:rFonts w:hint="eastAsia" w:ascii="宋体" w:hAnsi="宋体" w:eastAsia="宋体" w:cs="宋体"/>
          <w:b/>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五、验收</w:t>
      </w:r>
      <w:r>
        <w:rPr>
          <w:rFonts w:hint="eastAsia" w:ascii="宋体" w:hAnsi="宋体" w:eastAsia="宋体" w:cs="宋体"/>
          <w:b/>
          <w:sz w:val="24"/>
          <w:szCs w:val="24"/>
        </w:rPr>
      </w:r>
      <w:r/>
    </w:p>
    <w:p>
      <w:pPr>
        <w:pStyle w:val="1136"/>
        <w:numPr>
          <w:ilvl w:val="0"/>
          <w:numId w:val="0"/>
        </w:num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六、付款方式：</w:t>
      </w:r>
      <w:r>
        <w:rPr>
          <w:rFonts w:hint="eastAsia" w:ascii="宋体" w:hAnsi="宋体" w:eastAsia="宋体" w:cs="宋体"/>
          <w:sz w:val="24"/>
          <w:szCs w:val="24"/>
        </w:rPr>
      </w:r>
      <w:r/>
    </w:p>
    <w:p>
      <w:pPr>
        <w:pStyle w:val="1136"/>
        <w:ind w:firstLine="482"/>
        <w:jc w:val="left"/>
        <w:spacing w:before="72" w:after="120"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七、违约责任：</w:t>
      </w:r>
      <w:r>
        <w:rPr>
          <w:rFonts w:hint="eastAsia" w:ascii="宋体" w:hAnsi="宋体" w:eastAsia="宋体" w:cs="宋体"/>
          <w:sz w:val="24"/>
          <w:szCs w:val="24"/>
        </w:rPr>
      </w:r>
      <w:r/>
    </w:p>
    <w:p>
      <w:pPr>
        <w:pStyle w:val="1136"/>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1、乙方不履行合同应当双倍返还定金,甲方不履行合同无权要求返还定金。</w:t>
      </w:r>
      <w:r>
        <w:rPr>
          <w:rFonts w:hint="eastAsia" w:ascii="宋体" w:hAnsi="宋体" w:eastAsia="宋体" w:cs="宋体"/>
          <w:color w:val="000000"/>
          <w:sz w:val="24"/>
          <w:szCs w:val="24"/>
        </w:rPr>
      </w:r>
      <w:r/>
    </w:p>
    <w:p>
      <w:pPr>
        <w:pStyle w:val="1136"/>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2、乙方逾期交货或者甲方逾期付款,应向对方支付违约金,迟延履行违约金以逾期部分价款总额每日万分之</w:t>
      </w:r>
      <w:r>
        <w:rPr>
          <w:rFonts w:hint="eastAsia" w:ascii="宋体" w:hAnsi="宋体" w:eastAsia="宋体" w:cs="宋体"/>
          <w:color w:val="000000"/>
          <w:sz w:val="24"/>
          <w:szCs w:val="24"/>
          <w:u w:val="single"/>
        </w:rPr>
        <w:t xml:space="preserve"> 八 </w:t>
      </w:r>
      <w:r>
        <w:rPr>
          <w:rFonts w:hint="eastAsia" w:ascii="宋体" w:hAnsi="宋体" w:eastAsia="宋体" w:cs="宋体"/>
          <w:color w:val="000000"/>
          <w:sz w:val="24"/>
          <w:szCs w:val="24"/>
        </w:rPr>
        <w:t xml:space="preserve">计算。任何一方逾期履行超过 </w:t>
      </w:r>
      <w:r>
        <w:rPr>
          <w:rFonts w:hint="eastAsia" w:ascii="宋体" w:hAnsi="宋体" w:eastAsia="宋体" w:cs="宋体"/>
          <w:color w:val="000000"/>
          <w:sz w:val="24"/>
          <w:szCs w:val="24"/>
          <w:u w:val="single"/>
        </w:rPr>
        <w:t xml:space="preserve"> 十  </w:t>
      </w:r>
      <w:r>
        <w:rPr>
          <w:rFonts w:hint="eastAsia" w:ascii="宋体" w:hAnsi="宋体" w:eastAsia="宋体" w:cs="宋体"/>
          <w:color w:val="000000"/>
          <w:sz w:val="24"/>
          <w:szCs w:val="24"/>
        </w:rPr>
        <w:t xml:space="preserve">天，应当以逾期部分价款总额5％向对方支付违约金。违约方支付违约金后,对方有权要求继续履行合同。</w:t>
      </w:r>
      <w:r>
        <w:rPr>
          <w:rFonts w:hint="eastAsia" w:ascii="宋体" w:hAnsi="宋体" w:eastAsia="宋体" w:cs="宋体"/>
          <w:color w:val="000000"/>
          <w:sz w:val="24"/>
          <w:szCs w:val="24"/>
        </w:rPr>
      </w:r>
      <w:r/>
    </w:p>
    <w:p>
      <w:pPr>
        <w:pStyle w:val="1136"/>
        <w:ind w:firstLine="480"/>
        <w:jc w:val="left"/>
        <w:spacing w:before="72" w:after="12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rPr>
          <w:rFonts w:hint="eastAsia" w:ascii="宋体" w:hAnsi="宋体" w:eastAsia="宋体" w:cs="宋体"/>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八、不可抗力：</w:t>
      </w:r>
      <w:r>
        <w:rPr>
          <w:rFonts w:hint="eastAsia" w:ascii="宋体" w:hAnsi="宋体" w:eastAsia="宋体" w:cs="宋体"/>
          <w:b/>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1、甲、乙双方如果因不可抗力而导致合同义务的延误或不能履行，不承担没收误期赔偿或终止合同的责任。</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rFonts w:hint="eastAsia" w:ascii="宋体" w:hAnsi="宋体" w:eastAsia="宋体" w:cs="宋体"/>
          <w:color w:val="000000"/>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w:t>
      </w:r>
      <w:r>
        <w:rPr>
          <w:rFonts w:hint="eastAsia" w:ascii="宋体" w:hAnsi="宋体" w:eastAsia="宋体" w:cs="宋体"/>
          <w:b/>
          <w:color w:val="000000"/>
          <w:sz w:val="24"/>
          <w:szCs w:val="24"/>
        </w:rPr>
        <w:t xml:space="preserve">合同的解除：</w:t>
      </w:r>
      <w:r>
        <w:rPr>
          <w:rFonts w:hint="eastAsia" w:ascii="宋体" w:hAnsi="宋体" w:eastAsia="宋体" w:cs="宋体"/>
          <w:b/>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1、甲方和乙方协商一致，可以解除合同。</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2、有权解除合同的一方，应当在违约事实或不可抗力发生之后三十天内书面通知对方</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提出解除合同，合同在书面通知到达对方时解除。</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3、合同的部分和全部都不得擅自转让。</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4、出现下列情况之一可以解除合同：</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（1）对乙方有效投诉记录累计达3次；</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（2）在合同有效期内，被行业主管部门取消经营资格的；</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（3）在合同有效期内，乙方擅自变更、转让、租借本次招标范围内的定点服务资格的；</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（4）不如实反映情况，提供虚假材料的；</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（5）未按承诺的价格提供服务的。</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（6）招标文件约定的可解除合同的情况出现。</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5、乙方在任何情况下都不得用任何不正当行为影响、干扰委托单位。一经发现可立即</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解除合同，同时提请有关部门追究有关当事人的责任。</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6、如果乙方破产、解散、清算、停业以及其他原因无法提供服务的，甲方可在任何时</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间以书面形式通知取消其本次招标范围内的定点服务资格。该行为将不损害或影响甲方已经采取和将要采取的任何行动和补救措施的权力。</w:t>
      </w:r>
      <w:r>
        <w:rPr>
          <w:rFonts w:hint="eastAsia" w:ascii="宋体" w:hAnsi="宋体" w:eastAsia="宋体" w:cs="宋体"/>
          <w:color w:val="000000"/>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color w:val="000000"/>
          <w:sz w:val="24"/>
          <w:szCs w:val="24"/>
        </w:rPr>
        <w:t xml:space="preserve">争议处置</w:t>
      </w:r>
      <w:r>
        <w:rPr>
          <w:rFonts w:hint="eastAsia" w:ascii="宋体" w:hAnsi="宋体" w:eastAsia="宋体" w:cs="宋体"/>
          <w:b/>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1、在执行本合同中所发生的一切争议，甲乙双方应通过友好协商的办法进行解决，如</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协商不能解决的，有关当事方可提请仲裁。</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2、仲裁应根据《中华人民共和国仲裁法》的规定向甲方所在地有管辖权的仲裁机构申</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请仲裁。</w:t>
      </w:r>
      <w:r>
        <w:rPr>
          <w:rFonts w:hint="eastAsia" w:ascii="宋体" w:hAnsi="宋体" w:eastAsia="宋体" w:cs="宋体"/>
          <w:color w:val="000000"/>
          <w:sz w:val="24"/>
          <w:szCs w:val="24"/>
        </w:rPr>
      </w:r>
      <w:r/>
    </w:p>
    <w:p>
      <w:pPr>
        <w:pStyle w:val="1136"/>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3、仲裁裁决为最终裁决，对当事各方均有约束力。</w:t>
      </w:r>
      <w:r>
        <w:rPr>
          <w:rFonts w:hint="eastAsia" w:ascii="宋体" w:hAnsi="宋体" w:eastAsia="宋体" w:cs="宋体"/>
          <w:b/>
          <w:sz w:val="24"/>
          <w:szCs w:val="24"/>
        </w:rPr>
      </w:r>
      <w:r/>
    </w:p>
    <w:p>
      <w:pPr>
        <w:pStyle w:val="113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十一、合同生效</w:t>
      </w:r>
      <w:r>
        <w:rPr>
          <w:rFonts w:hint="eastAsia" w:ascii="宋体" w:hAnsi="宋体" w:eastAsia="宋体" w:cs="宋体"/>
          <w:b/>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本合同经</w:t>
      </w:r>
      <w:r>
        <w:rPr>
          <w:rFonts w:hint="eastAsia" w:ascii="宋体" w:hAnsi="宋体" w:eastAsia="宋体" w:cs="宋体"/>
          <w:sz w:val="24"/>
          <w:szCs w:val="24"/>
          <w:lang w:val="en-US" w:eastAsia="zh-CN"/>
        </w:rPr>
        <w:t xml:space="preserve">甲乙</w:t>
      </w:r>
      <w:r>
        <w:rPr>
          <w:rFonts w:hint="eastAsia" w:ascii="宋体" w:hAnsi="宋体" w:eastAsia="宋体" w:cs="宋体"/>
          <w:sz w:val="24"/>
          <w:szCs w:val="24"/>
        </w:rPr>
        <w:t xml:space="preserve">方盖章签字后生效，如有变动，必须经甲乙双方协商一致后，方可更改。本合同一式柒份，甲方叁份，乙方贰份，招标代理机构贰份。</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甲方：单位名称（章）：</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乙方：单位名称（章）：                            </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 </w:t>
      </w:r>
      <w:r>
        <w:rPr>
          <w:rFonts w:hint="eastAsia" w:ascii="宋体" w:hAnsi="宋体" w:eastAsia="宋体" w:cs="宋体"/>
          <w:sz w:val="24"/>
          <w:szCs w:val="24"/>
          <w:u w:val="single"/>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                      电  话：</w:t>
      </w:r>
      <w:r>
        <w:rPr>
          <w:rFonts w:hint="eastAsia" w:ascii="宋体" w:hAnsi="宋体" w:eastAsia="宋体" w:cs="宋体"/>
          <w:sz w:val="24"/>
          <w:szCs w:val="24"/>
        </w:rPr>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银行账号：</w:t>
      </w:r>
      <w:r>
        <w:rPr>
          <w:rFonts w:hint="eastAsia" w:ascii="宋体" w:hAnsi="宋体" w:eastAsia="宋体" w:cs="宋体"/>
          <w:sz w:val="24"/>
          <w:szCs w:val="24"/>
        </w:rPr>
      </w:r>
      <w:r/>
    </w:p>
    <w:p>
      <w:pPr>
        <w:pStyle w:val="1136"/>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113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本合同内容为主要条款，采购双方可根据项目实际情况进行调整。</w:t>
      </w:r>
      <w:r>
        <w:rPr>
          <w:rFonts w:hint="eastAsia" w:ascii="宋体" w:hAnsi="宋体" w:eastAsia="宋体" w:cs="宋体"/>
          <w:color w:val="000000"/>
          <w:sz w:val="24"/>
          <w:szCs w:val="24"/>
        </w:rPr>
      </w:r>
      <w:r/>
    </w:p>
    <w:p>
      <w:pPr>
        <w:pStyle w:val="1136"/>
        <w:jc w:val="center"/>
        <w:spacing w:line="360" w:lineRule="auto"/>
        <w:rPr>
          <w:b/>
          <w:sz w:val="36"/>
          <w:szCs w:val="36"/>
        </w:rPr>
        <w:outlineLvl w:val="0"/>
      </w:pPr>
      <w:r>
        <w:rPr>
          <w:rFonts w:hint="eastAsia" w:ascii="宋体" w:hAnsi="宋体" w:eastAsia="宋体" w:cs="宋体"/>
          <w:b/>
          <w:sz w:val="24"/>
          <w:szCs w:val="24"/>
        </w:rPr>
        <w:br w:type="page" w:clear="all"/>
      </w:r>
      <w:bookmarkStart w:id="664" w:name="_Toc104818930"/>
      <w:r>
        <w:rPr>
          <w:b/>
          <w:sz w:val="36"/>
          <w:szCs w:val="36"/>
        </w:rPr>
        <w:t xml:space="preserve">第六章   响应文件格式</w:t>
      </w:r>
      <w:bookmarkEnd w:id="664"/>
      <w:r>
        <w:rPr>
          <w:b/>
          <w:sz w:val="36"/>
          <w:szCs w:val="36"/>
        </w:rPr>
      </w:r>
      <w:r/>
    </w:p>
    <w:p>
      <w:pPr>
        <w:pStyle w:val="1136"/>
        <w:jc w:val="left"/>
        <w:spacing w:line="360" w:lineRule="auto"/>
        <w:widowControl/>
        <w:rPr>
          <w:b/>
          <w:sz w:val="24"/>
        </w:rPr>
      </w:pPr>
      <w:r>
        <w:rPr>
          <w:b/>
          <w:sz w:val="24"/>
        </w:rPr>
      </w:r>
      <w:r/>
    </w:p>
    <w:p>
      <w:pPr>
        <w:pStyle w:val="1136"/>
        <w:jc w:val="left"/>
        <w:spacing w:line="360" w:lineRule="auto"/>
        <w:widowControl/>
        <w:rPr>
          <w:b/>
          <w:sz w:val="24"/>
        </w:rPr>
      </w:pPr>
      <w:r>
        <w:rPr>
          <w:b/>
          <w:sz w:val="24"/>
        </w:rPr>
      </w:r>
      <w:r/>
    </w:p>
    <w:p>
      <w:pPr>
        <w:pStyle w:val="1136"/>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3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136"/>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3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136"/>
        <w:ind w:left="142"/>
        <w:spacing w:line="360" w:lineRule="auto"/>
        <w:tabs>
          <w:tab w:val="left" w:pos="900" w:leader="none"/>
          <w:tab w:val="left" w:pos="1980" w:leader="none"/>
        </w:tabs>
        <w:rPr>
          <w:sz w:val="24"/>
        </w:rPr>
      </w:pPr>
      <w:r>
        <w:rPr>
          <w:rFonts w:hint="eastAsia"/>
          <w:sz w:val="24"/>
        </w:rPr>
        <w:t xml:space="preserve">4、按照磋商文件要求，加盖公章、签名。</w:t>
      </w:r>
      <w:r>
        <w:rPr>
          <w:sz w:val="24"/>
        </w:rPr>
      </w:r>
      <w:r/>
    </w:p>
    <w:p>
      <w:pPr>
        <w:pStyle w:val="1136"/>
        <w:jc w:val="left"/>
        <w:widowControl/>
        <w:rPr>
          <w:sz w:val="24"/>
        </w:rPr>
      </w:pPr>
      <w:r>
        <w:rPr>
          <w:sz w:val="24"/>
        </w:rPr>
        <w:br w:type="page" w:clear="all"/>
      </w:r>
      <w:r>
        <w:rPr>
          <w:sz w:val="24"/>
        </w:rPr>
      </w:r>
      <w:r/>
    </w:p>
    <w:p>
      <w:pPr>
        <w:pStyle w:val="1136"/>
        <w:rPr>
          <w:b/>
          <w:sz w:val="24"/>
        </w:rPr>
      </w:pPr>
      <w:r>
        <w:rPr>
          <w:b/>
          <w:spacing w:val="20"/>
          <w:sz w:val="24"/>
        </w:rPr>
        <w:t xml:space="preserve">响应文件</w:t>
      </w:r>
      <w:r>
        <w:rPr>
          <w:b/>
          <w:sz w:val="24"/>
        </w:rPr>
        <w:t xml:space="preserve">封面（非实质性格式）</w:t>
      </w:r>
      <w:r>
        <w:rPr>
          <w:b/>
          <w:sz w:val="24"/>
        </w:rPr>
      </w:r>
      <w:r/>
    </w:p>
    <w:p>
      <w:pPr>
        <w:pStyle w:val="1136"/>
        <w:jc w:val="center"/>
        <w:rPr>
          <w:szCs w:val="21"/>
        </w:rPr>
      </w:pPr>
      <w:r>
        <w:rPr>
          <w:szCs w:val="21"/>
        </w:rPr>
      </w:r>
      <w:r/>
    </w:p>
    <w:p>
      <w:pPr>
        <w:pStyle w:val="1136"/>
        <w:jc w:val="center"/>
        <w:rPr>
          <w:b/>
          <w:spacing w:val="60"/>
          <w:sz w:val="84"/>
          <w:szCs w:val="84"/>
        </w:rPr>
      </w:pPr>
      <w:r>
        <w:rPr>
          <w:b/>
          <w:spacing w:val="60"/>
          <w:sz w:val="84"/>
          <w:szCs w:val="84"/>
        </w:rPr>
        <w:t xml:space="preserve">响 应 文 件</w:t>
      </w:r>
      <w:r>
        <w:rPr>
          <w:b/>
          <w:spacing w:val="60"/>
          <w:sz w:val="84"/>
          <w:szCs w:val="84"/>
        </w:rPr>
      </w:r>
      <w:r/>
    </w:p>
    <w:p>
      <w:pPr>
        <w:pStyle w:val="1136"/>
        <w:jc w:val="center"/>
        <w:rPr>
          <w:b/>
          <w:spacing w:val="60"/>
          <w:sz w:val="52"/>
          <w:szCs w:val="52"/>
        </w:rPr>
      </w:pPr>
      <w:r>
        <w:rPr>
          <w:b/>
          <w:spacing w:val="60"/>
          <w:sz w:val="52"/>
          <w:szCs w:val="52"/>
        </w:rPr>
      </w:r>
      <w:r/>
    </w:p>
    <w:p>
      <w:pPr>
        <w:pStyle w:val="1136"/>
        <w:ind w:firstLine="542"/>
        <w:rPr>
          <w:b/>
          <w:spacing w:val="20"/>
          <w:sz w:val="32"/>
          <w:szCs w:val="32"/>
        </w:rPr>
      </w:pPr>
      <w:r>
        <w:rPr>
          <w:b/>
          <w:spacing w:val="20"/>
          <w:sz w:val="32"/>
          <w:szCs w:val="32"/>
        </w:rPr>
      </w:r>
      <w:r/>
    </w:p>
    <w:p>
      <w:pPr>
        <w:pStyle w:val="1136"/>
        <w:ind w:firstLine="542"/>
        <w:rPr>
          <w:b/>
          <w:spacing w:val="20"/>
          <w:sz w:val="32"/>
          <w:szCs w:val="32"/>
        </w:rPr>
      </w:pPr>
      <w:r>
        <w:rPr>
          <w:b/>
          <w:spacing w:val="20"/>
          <w:sz w:val="32"/>
          <w:szCs w:val="32"/>
        </w:rPr>
      </w:r>
      <w:r/>
    </w:p>
    <w:p>
      <w:pPr>
        <w:pStyle w:val="1136"/>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1136"/>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1136"/>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1136"/>
        <w:rPr>
          <w:rFonts w:ascii="宋体" w:hAnsi="宋体"/>
          <w:b/>
          <w:sz w:val="36"/>
        </w:rPr>
      </w:pPr>
      <w:r>
        <w:rPr>
          <w:rFonts w:hint="eastAsia" w:ascii="宋体" w:hAnsi="宋体"/>
          <w:b/>
          <w:sz w:val="36"/>
        </w:rPr>
        <w:t xml:space="preserve">      日      期 ：</w:t>
      </w:r>
      <w:r>
        <w:rPr>
          <w:rFonts w:ascii="宋体" w:hAnsi="宋体"/>
          <w:b/>
          <w:sz w:val="36"/>
        </w:rPr>
      </w:r>
      <w:r/>
    </w:p>
    <w:p>
      <w:pPr>
        <w:pStyle w:val="1136"/>
        <w:jc w:val="center"/>
        <w:rPr>
          <w:b/>
          <w:sz w:val="32"/>
          <w:szCs w:val="32"/>
        </w:rPr>
      </w:pPr>
      <w:r>
        <w:rPr>
          <w:b/>
          <w:sz w:val="32"/>
          <w:szCs w:val="32"/>
        </w:rPr>
      </w:r>
      <w:r/>
    </w:p>
    <w:p>
      <w:pPr>
        <w:pStyle w:val="1136"/>
        <w:rPr>
          <w:b/>
        </w:rPr>
      </w:pPr>
      <w:r>
        <w:rPr>
          <w:b/>
          <w:spacing w:val="20"/>
          <w:sz w:val="32"/>
          <w:szCs w:val="32"/>
        </w:rPr>
        <w:br w:type="page" w:clear="all"/>
      </w:r>
      <w:r>
        <w:rPr>
          <w:b/>
        </w:rPr>
      </w:r>
      <w:r/>
    </w:p>
    <w:p>
      <w:pPr>
        <w:pStyle w:val="1136"/>
        <w:rPr>
          <w:b/>
        </w:rPr>
      </w:pPr>
      <w:r>
        <w:rPr>
          <w:b/>
        </w:rPr>
      </w:r>
      <w:r/>
    </w:p>
    <w:p>
      <w:pPr>
        <w:pStyle w:val="1136"/>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139"/>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136"/>
        <w:jc w:val="center"/>
        <w:spacing w:before="120" w:line="360" w:lineRule="auto"/>
        <w:widowControl/>
        <w:rPr>
          <w:rFonts w:ascii="宋体" w:hAnsi="宋体" w:cs="宋体"/>
          <w:b/>
          <w:sz w:val="28"/>
          <w:szCs w:val="28"/>
        </w:rPr>
      </w:pPr>
      <w:r>
        <w:rPr>
          <w:rFonts w:ascii="宋体" w:hAnsi="宋体" w:cs="宋体"/>
          <w:b/>
          <w:sz w:val="28"/>
          <w:szCs w:val="28"/>
        </w:rPr>
      </w:r>
      <w:r/>
    </w:p>
    <w:p>
      <w:pPr>
        <w:pStyle w:val="113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51"/>
        <w:ind w:firstLine="480"/>
        <w:spacing w:line="460" w:lineRule="exact"/>
      </w:pPr>
      <w:r/>
      <w:r/>
    </w:p>
    <w:p>
      <w:pPr>
        <w:pStyle w:val="1151"/>
        <w:ind w:firstLine="480"/>
        <w:spacing w:line="460" w:lineRule="exact"/>
      </w:pPr>
      <w:r>
        <w:rPr>
          <w:rFonts w:hint="eastAsia"/>
        </w:rPr>
        <w:t xml:space="preserve">致：</w:t>
      </w:r>
      <w:r>
        <w:rPr>
          <w:rFonts w:hint="eastAsia" w:hAnsi="宋体" w:cs="宋体"/>
          <w:szCs w:val="21"/>
        </w:rPr>
        <w:t xml:space="preserve">常州正衡招投标有限公司</w:t>
      </w:r>
      <w:r/>
    </w:p>
    <w:p>
      <w:pPr>
        <w:pStyle w:val="1151"/>
        <w:ind w:firstLine="960"/>
        <w:spacing w:line="460" w:lineRule="exact"/>
        <w:rPr>
          <w:u w:val="single"/>
        </w:rPr>
      </w:pPr>
      <w:r>
        <w:rPr>
          <w:rFonts w:hint="eastAsia"/>
          <w:u w:val="single"/>
        </w:rPr>
        <w:t xml:space="preserve">（采购人名称）</w:t>
      </w:r>
      <w:r>
        <w:rPr>
          <w:u w:val="single"/>
        </w:rPr>
      </w:r>
      <w:r/>
    </w:p>
    <w:p>
      <w:pPr>
        <w:pStyle w:val="1151"/>
        <w:ind w:firstLine="480"/>
        <w:spacing w:line="460" w:lineRule="exact"/>
      </w:pPr>
      <w:r/>
      <w:r/>
    </w:p>
    <w:p>
      <w:pPr>
        <w:pStyle w:val="1151"/>
        <w:ind w:firstLine="480"/>
        <w:spacing w:line="460" w:lineRule="exact"/>
      </w:pPr>
      <w:r>
        <w:rPr>
          <w:rFonts w:hint="eastAsia"/>
        </w:rPr>
        <w:t xml:space="preserve">按照《中华人民共和国政府采购法》第二十二条和磋商文件的规定，我单位郑重声明如下：</w:t>
      </w:r>
      <w:r/>
    </w:p>
    <w:p>
      <w:pPr>
        <w:pStyle w:val="1151"/>
        <w:ind w:firstLine="480"/>
        <w:spacing w:line="460" w:lineRule="exact"/>
      </w:pPr>
      <w:r>
        <w:rPr>
          <w:rFonts w:hint="eastAsia"/>
        </w:rPr>
        <w:t xml:space="preserve">一、我单位是按照中华人民共和国法律规定登记注册的，注册地点为，全称为，统一社会信用代码为 ，法定代表人（单位负责人）为，具有独立承担民事责任的能力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51"/>
        <w:ind w:firstLine="480"/>
        <w:spacing w:line="460" w:lineRule="exact"/>
      </w:pPr>
      <w:r>
        <w:rPr>
          <w:rFonts w:hint="eastAsia"/>
        </w:rPr>
        <w:t xml:space="preserve">二、我单位未被“国家企业信用信息系统”列入经营异常名录或者严重违法企业名单。</w:t>
      </w:r>
      <w:r/>
    </w:p>
    <w:p>
      <w:pPr>
        <w:pStyle w:val="1151"/>
        <w:ind w:firstLine="480"/>
        <w:spacing w:line="460" w:lineRule="exact"/>
      </w:pPr>
      <w:r>
        <w:rPr>
          <w:rFonts w:hint="eastAsia"/>
        </w:rPr>
        <w:t xml:space="preserve">三、我单位具有良好的商业信誉（指供应商经营状况良好，无本资格声明第十条情形）和健全的财务会计制度。</w:t>
      </w:r>
      <w:r/>
    </w:p>
    <w:p>
      <w:pPr>
        <w:pStyle w:val="1151"/>
        <w:ind w:firstLine="480"/>
        <w:spacing w:line="460" w:lineRule="exact"/>
      </w:pPr>
      <w:r>
        <w:rPr>
          <w:rFonts w:hint="eastAsia"/>
        </w:rPr>
        <w:t xml:space="preserve">四、我单位依法进行纳税和社会保险申报并实际履行了义务。</w:t>
      </w:r>
      <w:r/>
    </w:p>
    <w:p>
      <w:pPr>
        <w:pStyle w:val="115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51"/>
        <w:ind w:firstLine="480"/>
        <w:spacing w:line="460" w:lineRule="exact"/>
      </w:pPr>
      <w:r>
        <w:rPr>
          <w:rFonts w:hint="eastAsia"/>
        </w:rPr>
        <w:t xml:space="preserve">主要设备有：</w:t>
      </w:r>
      <w:r/>
    </w:p>
    <w:p>
      <w:pPr>
        <w:pStyle w:val="1151"/>
        <w:ind w:firstLine="480"/>
        <w:spacing w:line="460" w:lineRule="exact"/>
        <w:rPr>
          <w:rFonts w:hint="eastAsia" w:eastAsia="宋体"/>
          <w:lang w:eastAsia="zh-CN"/>
        </w:rPr>
      </w:pPr>
      <w:r>
        <w:rPr>
          <w:rFonts w:hint="eastAsia"/>
        </w:rPr>
        <w:t xml:space="preserve">主要专业技术能力有</w:t>
      </w:r>
      <w:r>
        <w:rPr>
          <w:rFonts w:hint="eastAsia"/>
          <w:lang w:eastAsia="zh-CN"/>
        </w:rPr>
        <w:t xml:space="preserve">：</w:t>
      </w:r>
      <w:r>
        <w:rPr>
          <w:rFonts w:hint="eastAsia" w:eastAsia="宋体"/>
          <w:lang w:eastAsia="zh-CN"/>
        </w:rPr>
      </w:r>
      <w:r/>
    </w:p>
    <w:p>
      <w:pPr>
        <w:pStyle w:val="115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1"/>
        <w:ind w:firstLine="480"/>
        <w:spacing w:line="460" w:lineRule="exact"/>
      </w:pPr>
      <w:r>
        <w:rPr>
          <w:rFonts w:hint="eastAsia"/>
        </w:rPr>
        <w:t xml:space="preserve">七、我单位具备法律、行政法规规定的其他条件。</w:t>
      </w:r>
      <w:r/>
    </w:p>
    <w:p>
      <w:pPr>
        <w:pStyle w:val="115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51"/>
        <w:ind w:firstLine="480"/>
        <w:spacing w:line="460" w:lineRule="exact"/>
      </w:pPr>
      <w:r>
        <w:rPr>
          <w:rFonts w:hint="eastAsia"/>
        </w:rPr>
        <w:t xml:space="preserve">1、与我单位的法定代表人（单位负责人）为同一人的其他单位如下：</w:t>
      </w:r>
      <w:r/>
    </w:p>
    <w:p>
      <w:pPr>
        <w:pStyle w:val="1151"/>
        <w:ind w:firstLine="480"/>
        <w:spacing w:line="460" w:lineRule="exact"/>
      </w:pPr>
      <w:r>
        <w:rPr>
          <w:rFonts w:hint="eastAsia"/>
        </w:rPr>
        <w:t xml:space="preserve">2、我单位直接控股的其他单位如下：</w:t>
      </w:r>
      <w:r/>
    </w:p>
    <w:p>
      <w:pPr>
        <w:pStyle w:val="1151"/>
        <w:ind w:firstLine="480"/>
        <w:spacing w:line="460" w:lineRule="exact"/>
      </w:pPr>
      <w:r>
        <w:rPr>
          <w:rFonts w:hint="eastAsia"/>
        </w:rPr>
        <w:t xml:space="preserve">3、与我单位存在管理关系的其他单位如下：</w:t>
      </w:r>
      <w:r/>
    </w:p>
    <w:p>
      <w:pPr>
        <w:pStyle w:val="115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51"/>
        <w:ind w:firstLine="480"/>
        <w:spacing w:line="460" w:lineRule="exact"/>
      </w:pPr>
      <w:r>
        <w:rPr>
          <w:rFonts w:hint="eastAsia"/>
        </w:rPr>
        <w:t xml:space="preserve">十、</w:t>
      </w:r>
      <w:r>
        <w:t xml:space="preserve">我单位无以下不良信用记录情形：</w:t>
      </w:r>
      <w:r/>
    </w:p>
    <w:p>
      <w:pPr>
        <w:pStyle w:val="1151"/>
        <w:ind w:firstLine="480"/>
        <w:spacing w:line="460" w:lineRule="exact"/>
      </w:pPr>
      <w:r>
        <w:t xml:space="preserve">1</w:t>
      </w:r>
      <w:r>
        <w:rPr>
          <w:rFonts w:hint="eastAsia"/>
        </w:rPr>
        <w:t xml:space="preserve">、在“信用中国”网站被列入失信被执行人和重大税收违法失信主体；</w:t>
      </w:r>
      <w:r/>
    </w:p>
    <w:p>
      <w:pPr>
        <w:pStyle w:val="1151"/>
        <w:ind w:firstLine="480"/>
        <w:spacing w:line="460" w:lineRule="exact"/>
      </w:pPr>
      <w:r>
        <w:t xml:space="preserve">2</w:t>
      </w:r>
      <w:r>
        <w:rPr>
          <w:rFonts w:hint="eastAsia"/>
        </w:rPr>
        <w:t xml:space="preserve">、在“中国政府采购网”网站被列入政府采购严重违法失信行为记录名单；</w:t>
      </w:r>
      <w:r/>
    </w:p>
    <w:p>
      <w:pPr>
        <w:pStyle w:val="1151"/>
        <w:ind w:firstLine="480"/>
        <w:spacing w:line="460" w:lineRule="exact"/>
      </w:pPr>
      <w:r>
        <w:t xml:space="preserve">3</w:t>
      </w:r>
      <w:r>
        <w:rPr>
          <w:rFonts w:hint="eastAsia"/>
        </w:rPr>
        <w:t xml:space="preserve">、</w:t>
      </w:r>
      <w:r>
        <w:t xml:space="preserve">不符合《政府采购法》第二十二条规定的条件。</w:t>
      </w:r>
      <w:r/>
    </w:p>
    <w:p>
      <w:pPr>
        <w:pStyle w:val="1151"/>
        <w:ind w:firstLine="480"/>
        <w:spacing w:line="460" w:lineRule="exact"/>
      </w:pPr>
      <w:r/>
      <w:r/>
    </w:p>
    <w:p>
      <w:pPr>
        <w:pStyle w:val="115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51"/>
        <w:ind w:firstLine="480"/>
        <w:spacing w:line="460" w:lineRule="exact"/>
      </w:pPr>
      <w:r/>
      <w:r/>
    </w:p>
    <w:p>
      <w:pPr>
        <w:pStyle w:val="1151"/>
        <w:ind w:firstLine="480"/>
        <w:spacing w:line="460" w:lineRule="exact"/>
      </w:pPr>
      <w:r/>
      <w:r/>
    </w:p>
    <w:p>
      <w:pPr>
        <w:pStyle w:val="1151"/>
        <w:ind w:firstLine="480"/>
        <w:spacing w:line="460" w:lineRule="exact"/>
      </w:pPr>
      <w:r>
        <w:rPr>
          <w:rFonts w:hint="eastAsia"/>
        </w:rPr>
        <w:t xml:space="preserve">                                            供应商：（加盖公章）</w:t>
      </w:r>
      <w:r/>
    </w:p>
    <w:p>
      <w:pPr>
        <w:pStyle w:val="1151"/>
        <w:ind w:firstLine="480"/>
        <w:spacing w:line="460" w:lineRule="exact"/>
      </w:pPr>
      <w:r>
        <w:rPr>
          <w:rFonts w:hint="eastAsia"/>
        </w:rPr>
        <w:t xml:space="preserve">                                           法定代表人（或单位负责人）签字或盖章：</w:t>
      </w:r>
      <w:r/>
    </w:p>
    <w:p>
      <w:pPr>
        <w:pStyle w:val="1151"/>
        <w:ind w:firstLine="4920"/>
        <w:spacing w:line="460" w:lineRule="exact"/>
      </w:pPr>
      <w:r>
        <w:rPr>
          <w:rFonts w:hint="eastAsia"/>
        </w:rPr>
        <w:t xml:space="preserve">日期：    年    月    日</w:t>
      </w:r>
      <w:r/>
    </w:p>
    <w:p>
      <w:pPr>
        <w:pStyle w:val="1136"/>
        <w:spacing w:line="360" w:lineRule="auto"/>
        <w:rPr>
          <w:sz w:val="24"/>
        </w:rPr>
      </w:pPr>
      <w:r>
        <w:rPr>
          <w:sz w:val="24"/>
        </w:rPr>
      </w:r>
      <w:r/>
    </w:p>
    <w:p>
      <w:pPr>
        <w:pStyle w:val="1136"/>
        <w:spacing w:line="360" w:lineRule="auto"/>
        <w:rPr>
          <w:sz w:val="24"/>
        </w:rPr>
      </w:pPr>
      <w:r>
        <w:rPr>
          <w:sz w:val="24"/>
        </w:rPr>
      </w:r>
      <w:r/>
    </w:p>
    <w:p>
      <w:pPr>
        <w:pStyle w:val="1136"/>
        <w:spacing w:line="360" w:lineRule="auto"/>
        <w:rPr>
          <w:sz w:val="24"/>
        </w:rPr>
      </w:pPr>
      <w:r>
        <w:rPr>
          <w:sz w:val="24"/>
        </w:rPr>
      </w:r>
      <w:r/>
    </w:p>
    <w:p>
      <w:pPr>
        <w:pStyle w:val="113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139"/>
        <w:rPr>
          <w:rFonts w:ascii="Times New Roman"/>
          <w:b w:val="0"/>
          <w:bCs/>
          <w:color w:val="000000"/>
          <w:u w:val="none"/>
        </w:rPr>
      </w:pPr>
      <w:r>
        <w:br w:type="page" w:clear="all"/>
      </w:r>
      <w:r>
        <w:rPr>
          <w:rFonts w:hint="eastAsia" w:ascii="Times New Roman"/>
          <w:b w:val="0"/>
          <w:color w:val="000000"/>
          <w:u w:val="none"/>
        </w:rPr>
        <w:t xml:space="preserve">1-2</w:t>
      </w:r>
      <w:r>
        <w:rPr>
          <w:rFonts w:ascii="Times New Roman"/>
          <w:b w:val="0"/>
          <w:color w:val="000000"/>
          <w:u w:val="none"/>
        </w:rPr>
        <w:t xml:space="preserve">营业执照</w:t>
      </w:r>
      <w:r>
        <w:rPr>
          <w:rFonts w:hint="eastAsia" w:ascii="Times New Roman"/>
          <w:b w:val="0"/>
          <w:color w:val="000000"/>
          <w:u w:val="none"/>
        </w:rPr>
        <w:t xml:space="preserve">副本</w:t>
      </w:r>
      <w:r>
        <w:rPr>
          <w:rFonts w:ascii="Times New Roman"/>
          <w:b w:val="0"/>
          <w:color w:val="000000"/>
          <w:u w:val="none"/>
        </w:rPr>
        <w:t xml:space="preserve">（实质性格式）</w:t>
      </w:r>
      <w:r>
        <w:rPr>
          <w:rFonts w:ascii="Times New Roman"/>
          <w:b w:val="0"/>
          <w:bCs/>
          <w:color w:val="000000"/>
          <w:u w:val="none"/>
        </w:rPr>
      </w:r>
      <w:r/>
    </w:p>
    <w:p>
      <w:pPr>
        <w:pStyle w:val="1136"/>
        <w:jc w:val="left"/>
        <w:widowControl/>
        <w:rPr>
          <w:rFonts w:hint="eastAsia"/>
          <w:color w:val="000000"/>
          <w:sz w:val="24"/>
          <w:szCs w:val="20"/>
        </w:rPr>
      </w:pPr>
      <w:r>
        <w:rPr>
          <w:rFonts w:hint="eastAsia"/>
          <w:color w:val="000000"/>
          <w:sz w:val="24"/>
          <w:szCs w:val="20"/>
        </w:rPr>
      </w:r>
      <w:r/>
    </w:p>
    <w:p>
      <w:pPr>
        <w:pStyle w:val="1136"/>
        <w:jc w:val="left"/>
        <w:widowControl/>
        <w:rPr>
          <w:sz w:val="24"/>
        </w:rPr>
      </w:pPr>
      <w:r>
        <w:rPr>
          <w:sz w:val="24"/>
        </w:rPr>
      </w:r>
      <w:r/>
    </w:p>
    <w:p>
      <w:pPr>
        <w:pStyle w:val="1136"/>
        <w:rPr>
          <w:rFonts w:hint="eastAsia"/>
          <w:color w:val="000000"/>
          <w:sz w:val="24"/>
        </w:rPr>
      </w:pPr>
      <w:r/>
      <w:bookmarkStart w:id="665" w:name="_Toc226309801"/>
      <w:r/>
      <w:bookmarkStart w:id="666" w:name="_Toc226965830"/>
      <w:r/>
      <w:bookmarkStart w:id="667" w:name="_Toc226965747"/>
      <w:r/>
      <w:bookmarkStart w:id="668" w:name="_Toc265228395"/>
      <w:r/>
      <w:bookmarkStart w:id="669" w:name="_Toc264969247"/>
      <w:r/>
      <w:bookmarkStart w:id="670" w:name="_Toc195842922"/>
      <w:r/>
      <w:bookmarkStart w:id="671" w:name="_Toc150480795"/>
      <w:r/>
      <w:bookmarkStart w:id="672" w:name="_Toc142311059"/>
      <w:r/>
      <w:bookmarkStart w:id="673" w:name="_Toc226337253"/>
      <w:r/>
      <w:bookmarkStart w:id="674" w:name="_Ref467988705"/>
      <w:r/>
      <w:bookmarkStart w:id="675" w:name="_Toc150774762"/>
      <w:r/>
      <w:bookmarkStart w:id="676" w:name="_Toc127151557"/>
      <w:r/>
      <w:bookmarkStart w:id="677" w:name="_Toc305158825"/>
      <w:r/>
      <w:bookmarkStart w:id="678" w:name="_Toc480942350"/>
      <w:r/>
      <w:bookmarkStart w:id="679" w:name="_Toc520356218"/>
      <w:r/>
      <w:bookmarkStart w:id="680" w:name="_Toc305158899"/>
      <w:r>
        <w:rPr>
          <w:rFonts w:hint="eastAsia"/>
          <w:color w:val="000000"/>
          <w:sz w:val="24"/>
        </w:rPr>
      </w:r>
      <w:r/>
    </w:p>
    <w:p>
      <w:pPr>
        <w:pStyle w:val="1136"/>
        <w:spacing w:line="360" w:lineRule="auto"/>
        <w:rPr>
          <w:color w:val="000000"/>
          <w:sz w:val="24"/>
        </w:rPr>
        <w:outlineLvl w:val="2"/>
      </w:pPr>
      <w:r>
        <w:rPr>
          <w:rFonts w:hint="eastAsia"/>
          <w:color w:val="000000"/>
          <w:sz w:val="24"/>
        </w:rPr>
        <w:br w:type="page" w:clear="all"/>
      </w:r>
      <w:r>
        <w:rPr>
          <w:rFonts w:hint="eastAsia"/>
          <w:color w:val="000000"/>
          <w:sz w:val="24"/>
        </w:rPr>
        <w:t xml:space="preserve">1-3 </w:t>
      </w:r>
      <w:r>
        <w:rPr>
          <w:szCs w:val="21"/>
        </w:rPr>
        <w:t xml:space="preserve">其他特定资格要求</w:t>
      </w:r>
      <w:r>
        <w:rPr>
          <w:color w:val="000000"/>
          <w:sz w:val="24"/>
        </w:rPr>
      </w:r>
      <w:r/>
    </w:p>
    <w:p>
      <w:pPr>
        <w:pStyle w:val="1136"/>
        <w:ind w:firstLine="420"/>
        <w:spacing w:line="360" w:lineRule="auto"/>
        <w:rPr>
          <w:rFonts w:ascii="宋体" w:hAnsi="宋体" w:cs="宋体"/>
          <w:bCs/>
          <w:spacing w:val="2"/>
          <w:szCs w:val="21"/>
          <w:highlight w:val="yellow"/>
        </w:rPr>
      </w:pPr>
      <w:r>
        <w:rPr>
          <w:rFonts w:hint="eastAsia"/>
        </w:rPr>
        <w:t xml:space="preserve">供应商应具有有效期内的《食品经营许可证》</w:t>
      </w:r>
      <w:r>
        <w:rPr>
          <w:rFonts w:ascii="宋体" w:hAnsi="宋体" w:cs="宋体"/>
          <w:bCs/>
          <w:spacing w:val="2"/>
          <w:szCs w:val="21"/>
          <w:highlight w:val="yellow"/>
        </w:rPr>
      </w:r>
      <w:r/>
    </w:p>
    <w:p>
      <w:pPr>
        <w:pStyle w:val="1136"/>
        <w:spacing w:line="360" w:lineRule="auto"/>
        <w:rPr>
          <w:color w:val="000000"/>
          <w:sz w:val="24"/>
          <w:szCs w:val="20"/>
        </w:rPr>
        <w:outlineLvl w:val="2"/>
      </w:pPr>
      <w:r>
        <w:rPr>
          <w:rFonts w:hint="eastAsia"/>
          <w:color w:val="000000"/>
          <w:sz w:val="24"/>
        </w:rPr>
        <w:br w:type="page" w:clear="all"/>
      </w:r>
      <w:r>
        <w:rPr>
          <w:rFonts w:hint="eastAsia"/>
          <w:color w:val="000000"/>
          <w:sz w:val="24"/>
          <w:szCs w:val="20"/>
        </w:rPr>
        <w:t xml:space="preserve">2</w:t>
      </w:r>
      <w:r>
        <w:rPr>
          <w:color w:val="000000"/>
          <w:sz w:val="24"/>
          <w:szCs w:val="20"/>
        </w:rPr>
        <w:t xml:space="preserve"> 落实政府采购政策需满足的资格要求（如有）</w:t>
      </w:r>
      <w:r>
        <w:rPr>
          <w:color w:val="000000"/>
          <w:sz w:val="24"/>
          <w:szCs w:val="20"/>
        </w:rPr>
      </w:r>
      <w:r/>
    </w:p>
    <w:p>
      <w:pPr>
        <w:pStyle w:val="1136"/>
        <w:spacing w:line="360" w:lineRule="auto"/>
        <w:rPr>
          <w:color w:val="000000"/>
          <w:sz w:val="24"/>
          <w:szCs w:val="20"/>
        </w:rPr>
        <w:outlineLvl w:val="2"/>
      </w:pPr>
      <w:r>
        <w:rPr>
          <w:rFonts w:hint="eastAsia"/>
          <w:color w:val="000000"/>
          <w:sz w:val="24"/>
          <w:szCs w:val="20"/>
        </w:rPr>
        <w:t xml:space="preserve">2</w:t>
      </w:r>
      <w:r>
        <w:rPr>
          <w:color w:val="000000"/>
          <w:sz w:val="24"/>
          <w:szCs w:val="20"/>
        </w:rPr>
        <w:t xml:space="preserve">-1中小企业声明函</w:t>
      </w:r>
      <w:r>
        <w:rPr>
          <w:color w:val="000000"/>
          <w:sz w:val="24"/>
          <w:szCs w:val="20"/>
        </w:rPr>
      </w:r>
      <w:r/>
    </w:p>
    <w:p>
      <w:pPr>
        <w:pStyle w:val="1136"/>
        <w:spacing w:line="360" w:lineRule="auto"/>
        <w:tabs>
          <w:tab w:val="left" w:pos="5580" w:leader="none"/>
        </w:tabs>
        <w:rPr>
          <w:sz w:val="24"/>
        </w:rPr>
      </w:pPr>
      <w:r>
        <w:rPr>
          <w:sz w:val="24"/>
        </w:rPr>
      </w:r>
      <w:r/>
    </w:p>
    <w:p>
      <w:pPr>
        <w:pStyle w:val="1136"/>
        <w:spacing w:line="360" w:lineRule="auto"/>
        <w:tabs>
          <w:tab w:val="left" w:pos="5580" w:leader="none"/>
        </w:tabs>
        <w:rPr>
          <w:sz w:val="24"/>
        </w:rPr>
      </w:pPr>
      <w:r>
        <w:rPr>
          <w:sz w:val="24"/>
        </w:rPr>
        <w:t xml:space="preserve">说明：</w:t>
      </w:r>
      <w:r>
        <w:rPr>
          <w:sz w:val="24"/>
        </w:rPr>
      </w:r>
      <w:r/>
    </w:p>
    <w:p>
      <w:pPr>
        <w:pStyle w:val="1136"/>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1136"/>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1136"/>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136"/>
        <w:spacing w:line="360" w:lineRule="auto"/>
        <w:tabs>
          <w:tab w:val="left" w:pos="5580" w:leader="none"/>
        </w:tabs>
        <w:rPr>
          <w:sz w:val="24"/>
        </w:rPr>
      </w:pPr>
      <w:r>
        <w:rPr>
          <w:rFonts w:hint="eastAsia"/>
          <w:sz w:val="24"/>
        </w:rPr>
        <w:t xml:space="preserve">（4）其他</w:t>
      </w:r>
      <w:r>
        <w:rPr>
          <w:sz w:val="24"/>
        </w:rPr>
      </w:r>
      <w:r/>
    </w:p>
    <w:p>
      <w:pPr>
        <w:pStyle w:val="1136"/>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1136"/>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136"/>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1136"/>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1136"/>
        <w:spacing w:line="360" w:lineRule="auto"/>
        <w:tabs>
          <w:tab w:val="left" w:pos="5580" w:leader="none"/>
        </w:tabs>
        <w:rPr>
          <w:sz w:val="24"/>
        </w:rPr>
      </w:pPr>
      <w:r>
        <w:rPr>
          <w:sz w:val="24"/>
        </w:rPr>
      </w:r>
      <w:r/>
    </w:p>
    <w:p>
      <w:pPr>
        <w:pStyle w:val="1136"/>
        <w:jc w:val="left"/>
        <w:widowControl/>
        <w:rPr>
          <w:sz w:val="24"/>
        </w:rPr>
      </w:pPr>
      <w:r>
        <w:rPr>
          <w:sz w:val="24"/>
        </w:rPr>
        <w:br w:type="page" w:clear="all"/>
      </w:r>
      <w:r>
        <w:rPr>
          <w:sz w:val="24"/>
        </w:rPr>
      </w:r>
      <w:r/>
    </w:p>
    <w:p>
      <w:pPr>
        <w:pStyle w:val="1136"/>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1136"/>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136"/>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u w:val="single"/>
          <w:lang w:val="en-US" w:eastAsia="zh-CN"/>
        </w:rPr>
        <w:t xml:space="preserve">餐饮业</w:t>
      </w:r>
      <w:r>
        <w:rPr>
          <w:spacing w:val="6"/>
          <w:sz w:val="24"/>
          <w:u w:val="single"/>
        </w:rPr>
        <w:t xml:space="preserve">）</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136"/>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u w:val="single"/>
          <w:lang w:val="en-US" w:eastAsia="zh-CN"/>
        </w:rPr>
        <w:t xml:space="preserve">餐饮业</w:t>
      </w:r>
      <w:r>
        <w:rPr>
          <w:spacing w:val="6"/>
          <w:sz w:val="24"/>
          <w:u w:val="single"/>
        </w:rPr>
        <w:t xml:space="preserve">）</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136"/>
        <w:ind w:firstLine="504"/>
        <w:spacing w:line="360" w:lineRule="auto"/>
        <w:rPr>
          <w:spacing w:val="6"/>
          <w:sz w:val="24"/>
        </w:rPr>
      </w:pPr>
      <w:r>
        <w:rPr>
          <w:spacing w:val="6"/>
          <w:sz w:val="24"/>
        </w:rPr>
      </w:r>
      <w:r/>
    </w:p>
    <w:p>
      <w:pPr>
        <w:pStyle w:val="1136"/>
        <w:ind w:firstLine="504"/>
        <w:spacing w:line="360" w:lineRule="auto"/>
        <w:rPr>
          <w:spacing w:val="6"/>
          <w:sz w:val="24"/>
        </w:rPr>
      </w:pPr>
      <w:r>
        <w:rPr>
          <w:spacing w:val="6"/>
          <w:sz w:val="24"/>
        </w:rPr>
        <w:t xml:space="preserve">……</w:t>
      </w:r>
      <w:r>
        <w:rPr>
          <w:spacing w:val="6"/>
          <w:sz w:val="24"/>
        </w:rPr>
      </w:r>
      <w:r/>
    </w:p>
    <w:p>
      <w:pPr>
        <w:pStyle w:val="1136"/>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136"/>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136"/>
        <w:ind w:right="360" w:firstLine="480"/>
        <w:jc w:val="right"/>
        <w:spacing w:line="360" w:lineRule="auto"/>
        <w:rPr>
          <w:color w:val="000000"/>
          <w:sz w:val="24"/>
        </w:rPr>
      </w:pPr>
      <w:r>
        <w:rPr>
          <w:color w:val="000000"/>
          <w:sz w:val="24"/>
        </w:rPr>
      </w:r>
      <w:r/>
    </w:p>
    <w:p>
      <w:pPr>
        <w:pStyle w:val="113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36"/>
        <w:ind w:right="360" w:firstLine="480"/>
        <w:jc w:val="right"/>
        <w:spacing w:line="360" w:lineRule="auto"/>
        <w:rPr>
          <w:color w:val="000000"/>
          <w:sz w:val="24"/>
        </w:rPr>
      </w:pPr>
      <w:r>
        <w:rPr>
          <w:color w:val="000000"/>
          <w:sz w:val="24"/>
        </w:rPr>
        <w:t xml:space="preserve">日 期：________</w:t>
      </w:r>
      <w:r>
        <w:rPr>
          <w:color w:val="000000"/>
          <w:sz w:val="24"/>
        </w:rPr>
      </w:r>
      <w:r/>
    </w:p>
    <w:p>
      <w:pPr>
        <w:pStyle w:val="1136"/>
        <w:jc w:val="left"/>
        <w:rPr>
          <w:color w:val="000000"/>
          <w:sz w:val="24"/>
          <w:szCs w:val="21"/>
        </w:rPr>
      </w:pPr>
      <w:r>
        <w:rPr>
          <w:color w:val="000000"/>
          <w:sz w:val="24"/>
          <w:szCs w:val="21"/>
        </w:rPr>
      </w:r>
      <w:r/>
    </w:p>
    <w:p>
      <w:pPr>
        <w:pStyle w:val="1136"/>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3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36"/>
        <w:jc w:val="left"/>
        <w:rPr>
          <w:color w:val="000000"/>
          <w:szCs w:val="21"/>
          <w:vertAlign w:val="superscript"/>
        </w:rPr>
      </w:pPr>
      <w:r>
        <w:rPr>
          <w:color w:val="000000"/>
          <w:szCs w:val="21"/>
          <w:vertAlign w:val="superscript"/>
        </w:rPr>
      </w:r>
      <w:r/>
    </w:p>
    <w:p>
      <w:pPr>
        <w:pStyle w:val="1136"/>
        <w:ind w:right="360" w:firstLine="480"/>
        <w:jc w:val="right"/>
        <w:spacing w:line="360" w:lineRule="auto"/>
        <w:rPr>
          <w:color w:val="000000"/>
          <w:sz w:val="24"/>
        </w:rPr>
      </w:pPr>
      <w:r>
        <w:rPr>
          <w:color w:val="000000"/>
          <w:sz w:val="24"/>
        </w:rPr>
      </w:r>
      <w:r/>
    </w:p>
    <w:p>
      <w:pPr>
        <w:pStyle w:val="1136"/>
        <w:ind w:right="360" w:firstLine="480"/>
        <w:jc w:val="right"/>
        <w:spacing w:line="360" w:lineRule="auto"/>
        <w:rPr>
          <w:color w:val="000000"/>
          <w:sz w:val="24"/>
        </w:rPr>
      </w:pPr>
      <w:r>
        <w:rPr>
          <w:color w:val="000000"/>
          <w:sz w:val="24"/>
        </w:rPr>
      </w:r>
      <w:r/>
    </w:p>
    <w:p>
      <w:pPr>
        <w:pStyle w:val="1136"/>
        <w:spacing w:line="360" w:lineRule="auto"/>
        <w:rPr>
          <w:color w:val="000000"/>
          <w:sz w:val="24"/>
          <w:szCs w:val="20"/>
        </w:rPr>
        <w:outlineLvl w:val="2"/>
      </w:pPr>
      <w:r>
        <w:rPr>
          <w:color w:val="000000"/>
          <w:sz w:val="24"/>
          <w:szCs w:val="20"/>
        </w:rPr>
        <w:br w:type="page" w:clear="all"/>
      </w:r>
      <w:r>
        <w:rPr>
          <w:color w:val="000000"/>
          <w:sz w:val="24"/>
          <w:szCs w:val="20"/>
        </w:rPr>
      </w:r>
      <w:r/>
    </w:p>
    <w:p>
      <w:pPr>
        <w:pStyle w:val="1136"/>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136"/>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136"/>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136"/>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136"/>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36"/>
        <w:ind w:firstLine="504"/>
        <w:spacing w:line="588" w:lineRule="exact"/>
        <w:rPr>
          <w:spacing w:val="6"/>
          <w:sz w:val="24"/>
        </w:rPr>
      </w:pPr>
      <w:r>
        <w:rPr>
          <w:spacing w:val="6"/>
          <w:sz w:val="24"/>
        </w:rPr>
      </w:r>
      <w:r/>
    </w:p>
    <w:p>
      <w:pPr>
        <w:pStyle w:val="1136"/>
        <w:ind w:firstLine="504"/>
        <w:spacing w:line="588" w:lineRule="exact"/>
        <w:rPr>
          <w:spacing w:val="6"/>
          <w:sz w:val="24"/>
        </w:rPr>
      </w:pPr>
      <w:r>
        <w:rPr>
          <w:spacing w:val="6"/>
          <w:sz w:val="24"/>
        </w:rPr>
      </w:r>
      <w:r/>
    </w:p>
    <w:p>
      <w:pPr>
        <w:pStyle w:val="1136"/>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136"/>
        <w:ind w:right="1560" w:firstLine="504"/>
        <w:jc w:val="center"/>
        <w:spacing w:line="588" w:lineRule="exact"/>
        <w:tabs>
          <w:tab w:val="left" w:pos="4860" w:leader="none"/>
        </w:tabs>
        <w:rPr>
          <w:spacing w:val="6"/>
          <w:sz w:val="24"/>
        </w:rPr>
      </w:pPr>
      <w:r>
        <w:rPr>
          <w:spacing w:val="6"/>
          <w:sz w:val="24"/>
        </w:rPr>
      </w:r>
      <w:r/>
    </w:p>
    <w:p>
      <w:pPr>
        <w:pStyle w:val="1136"/>
        <w:ind w:right="1560" w:firstLine="504"/>
        <w:jc w:val="center"/>
        <w:spacing w:line="588" w:lineRule="exact"/>
        <w:tabs>
          <w:tab w:val="left" w:pos="4860" w:leader="none"/>
        </w:tabs>
        <w:rPr>
          <w:rFonts w:hint="eastAsia"/>
          <w:spacing w:val="6"/>
          <w:sz w:val="24"/>
        </w:rPr>
        <w:sectPr>
          <w:footnotePr/>
          <w:endnotePr/>
          <w:type w:val="nextPage"/>
          <w:pgSz w:w="11907" w:h="16840" w:orient="portrait"/>
          <w:pgMar w:top="1417" w:right="1134" w:bottom="1417" w:left="1701" w:header="851" w:footer="850" w:gutter="0"/>
          <w:cols w:num="1" w:sep="0" w:space="1701" w:equalWidth="1"/>
          <w:docGrid w:linePitch="360"/>
        </w:sectPr>
      </w:pPr>
      <w:r>
        <w:rPr>
          <w:spacing w:val="6"/>
          <w:sz w:val="24"/>
        </w:rPr>
        <w:t xml:space="preserve">日  期</w:t>
      </w:r>
      <w:r>
        <w:rPr>
          <w:rFonts w:hint="eastAsia"/>
          <w:spacing w:val="6"/>
          <w:sz w:val="24"/>
        </w:rPr>
        <w:t xml:space="preserve">：</w:t>
      </w:r>
      <w:r>
        <w:rPr>
          <w:rFonts w:hint="eastAsia"/>
          <w:spacing w:val="6"/>
          <w:sz w:val="24"/>
        </w:rPr>
      </w:r>
      <w:r/>
    </w:p>
    <w:p>
      <w:pPr>
        <w:pStyle w:val="1136"/>
        <w:spacing w:line="360" w:lineRule="auto"/>
        <w:rPr>
          <w:color w:val="000000"/>
          <w:sz w:val="24"/>
          <w:szCs w:val="20"/>
        </w:rPr>
        <w:outlineLvl w:val="2"/>
      </w:pPr>
      <w:r>
        <w:rPr>
          <w:rFonts w:hint="eastAsia"/>
          <w:color w:val="000000"/>
          <w:sz w:val="24"/>
        </w:rPr>
        <w:t xml:space="preserve">3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136"/>
        <w:spacing w:line="360" w:lineRule="auto"/>
        <w:tabs>
          <w:tab w:val="left" w:pos="5580" w:leader="none"/>
        </w:tabs>
        <w:rPr>
          <w:color w:val="000000"/>
          <w:sz w:val="24"/>
        </w:rPr>
      </w:pPr>
      <w:r>
        <w:rPr>
          <w:color w:val="000000"/>
          <w:sz w:val="24"/>
        </w:rPr>
      </w:r>
      <w:r/>
    </w:p>
    <w:p>
      <w:pPr>
        <w:pStyle w:val="113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13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136"/>
        <w:spacing w:line="360" w:lineRule="auto"/>
        <w:tabs>
          <w:tab w:val="left" w:pos="5580" w:leader="none"/>
        </w:tabs>
        <w:rPr>
          <w:color w:val="000000"/>
          <w:sz w:val="24"/>
          <w:szCs w:val="20"/>
        </w:rPr>
      </w:pPr>
      <w:r>
        <w:rPr>
          <w:color w:val="000000"/>
          <w:sz w:val="24"/>
          <w:szCs w:val="20"/>
        </w:rPr>
      </w:r>
      <w:r/>
    </w:p>
    <w:p>
      <w:pPr>
        <w:pStyle w:val="113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13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13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13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13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13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13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13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136"/>
        <w:ind w:left="420"/>
        <w:spacing w:line="360" w:lineRule="auto"/>
        <w:tabs>
          <w:tab w:val="left" w:pos="5580" w:leader="none"/>
        </w:tabs>
        <w:rPr>
          <w:color w:val="000000"/>
          <w:sz w:val="24"/>
          <w:szCs w:val="20"/>
        </w:rPr>
      </w:pPr>
      <w:r>
        <w:rPr>
          <w:color w:val="000000"/>
          <w:sz w:val="24"/>
          <w:szCs w:val="20"/>
        </w:rPr>
      </w:r>
      <w:r/>
    </w:p>
    <w:p>
      <w:pPr>
        <w:pStyle w:val="113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13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136"/>
        <w:ind w:left="420"/>
        <w:spacing w:line="360" w:lineRule="auto"/>
        <w:tabs>
          <w:tab w:val="left" w:pos="5580" w:leader="none"/>
        </w:tabs>
        <w:rPr>
          <w:color w:val="000000"/>
          <w:sz w:val="24"/>
          <w:szCs w:val="20"/>
        </w:rPr>
      </w:pPr>
      <w:r>
        <w:rPr>
          <w:color w:val="000000"/>
          <w:sz w:val="24"/>
          <w:szCs w:val="20"/>
        </w:rPr>
      </w:r>
      <w:r/>
    </w:p>
    <w:p>
      <w:pPr>
        <w:pStyle w:val="113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13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136"/>
        <w:ind w:left="420"/>
        <w:spacing w:line="360" w:lineRule="auto"/>
        <w:tabs>
          <w:tab w:val="left" w:pos="5580" w:leader="none"/>
        </w:tabs>
        <w:rPr>
          <w:color w:val="000000"/>
          <w:sz w:val="24"/>
          <w:szCs w:val="20"/>
          <w:u w:val="single"/>
        </w:rPr>
      </w:pPr>
      <w:r>
        <w:rPr>
          <w:color w:val="000000"/>
          <w:sz w:val="24"/>
          <w:szCs w:val="20"/>
          <w:u w:val="single"/>
        </w:rPr>
      </w:r>
      <w:r/>
    </w:p>
    <w:p>
      <w:pPr>
        <w:pStyle w:val="1136"/>
        <w:jc w:val="left"/>
        <w:widowControl/>
        <w:rPr>
          <w:color w:val="000000"/>
          <w:sz w:val="24"/>
        </w:rPr>
      </w:pPr>
      <w:r/>
      <w:bookmarkStart w:id="681" w:name="_Hlt520356243"/>
      <w:r/>
      <w:bookmarkEnd w:id="681"/>
      <w:r/>
      <w:bookmarkStart w:id="682" w:name="_Hlt520355938"/>
      <w:r/>
      <w:bookmarkEnd w:id="682"/>
      <w:r>
        <w:rPr>
          <w:color w:val="000000"/>
          <w:sz w:val="24"/>
        </w:rPr>
        <w:br w:type="page" w:clear="all"/>
      </w:r>
      <w:r>
        <w:rPr>
          <w:color w:val="000000"/>
          <w:sz w:val="24"/>
        </w:rPr>
      </w:r>
      <w:r/>
    </w:p>
    <w:p>
      <w:pPr>
        <w:pStyle w:val="1136"/>
        <w:jc w:val="left"/>
        <w:widowControl/>
        <w:rPr>
          <w:color w:val="000000"/>
          <w:sz w:val="24"/>
        </w:rPr>
      </w:pPr>
      <w:r>
        <w:rPr>
          <w:rFonts w:hint="eastAsia"/>
          <w:color w:val="000000"/>
          <w:sz w:val="24"/>
        </w:rPr>
        <w:t xml:space="preserve">4法定代表人资格证明书</w:t>
      </w:r>
      <w:r>
        <w:rPr>
          <w:color w:val="000000"/>
          <w:sz w:val="24"/>
          <w:szCs w:val="20"/>
        </w:rPr>
        <w:t xml:space="preserve">（实质性格式）</w:t>
      </w:r>
      <w:r>
        <w:rPr>
          <w:color w:val="000000"/>
          <w:sz w:val="24"/>
        </w:rPr>
      </w:r>
      <w:r/>
    </w:p>
    <w:p>
      <w:pPr>
        <w:pStyle w:val="1136"/>
        <w:jc w:val="center"/>
        <w:spacing w:line="360" w:lineRule="auto"/>
        <w:rPr>
          <w:rFonts w:ascii="宋体" w:hAnsi="宋体"/>
          <w:b/>
          <w:sz w:val="32"/>
          <w:szCs w:val="32"/>
        </w:rPr>
      </w:pPr>
      <w:r>
        <w:rPr>
          <w:rFonts w:ascii="宋体" w:hAnsi="宋体"/>
          <w:b/>
          <w:sz w:val="32"/>
          <w:szCs w:val="32"/>
        </w:rPr>
      </w:r>
      <w:r/>
    </w:p>
    <w:p>
      <w:pPr>
        <w:pStyle w:val="113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3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3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3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3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13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36"/>
        <w:spacing w:line="560" w:lineRule="exact"/>
        <w:rPr>
          <w:rFonts w:ascii="宋体" w:hAnsi="宋体"/>
          <w:sz w:val="24"/>
        </w:rPr>
      </w:pPr>
      <w:r>
        <w:rPr>
          <w:rFonts w:ascii="宋体" w:hAnsi="宋体"/>
          <w:sz w:val="24"/>
        </w:rPr>
      </w:r>
      <w:r/>
    </w:p>
    <w:p>
      <w:pPr>
        <w:pStyle w:val="1168"/>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3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36"/>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13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13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36"/>
        <w:jc w:val="left"/>
        <w:widowControl/>
        <w:rPr>
          <w:color w:val="000000"/>
          <w:sz w:val="24"/>
        </w:rPr>
      </w:pPr>
      <w:r>
        <w:rPr>
          <w:color w:val="000000"/>
          <w:sz w:val="24"/>
        </w:rPr>
      </w:r>
      <w:r/>
    </w:p>
    <w:p>
      <w:pPr>
        <w:pStyle w:val="1136"/>
        <w:jc w:val="left"/>
        <w:widowControl/>
        <w:rPr>
          <w:color w:val="000000"/>
          <w:sz w:val="24"/>
        </w:rPr>
      </w:pPr>
      <w:r>
        <w:rPr>
          <w:color w:val="000000"/>
          <w:sz w:val="24"/>
        </w:rPr>
      </w:r>
      <w:r/>
    </w:p>
    <w:p>
      <w:pPr>
        <w:pStyle w:val="1136"/>
        <w:jc w:val="left"/>
        <w:widowControl/>
        <w:rPr>
          <w:color w:val="000000"/>
          <w:sz w:val="24"/>
        </w:rPr>
      </w:pPr>
      <w:r>
        <w:rPr>
          <w:color w:val="000000"/>
          <w:sz w:val="24"/>
        </w:rPr>
      </w:r>
      <w:r/>
    </w:p>
    <w:p>
      <w:pPr>
        <w:pStyle w:val="113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3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3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1136"/>
        <w:jc w:val="center"/>
        <w:spacing w:before="120" w:after="120" w:line="360" w:lineRule="auto"/>
        <w:rPr>
          <w:rFonts w:hint="eastAsia" w:ascii="宋体" w:hAnsi="宋体" w:cs="宋体"/>
          <w:b/>
          <w:color w:val="000000"/>
          <w:sz w:val="32"/>
          <w:szCs w:val="32"/>
        </w:rPr>
      </w:pPr>
      <w:r>
        <w:rPr>
          <w:color w:val="000000"/>
          <w:sz w:val="24"/>
        </w:rPr>
        <w:br w:type="page" w:clear="all"/>
      </w:r>
      <w:r>
        <w:rPr>
          <w:rFonts w:hint="eastAsia" w:ascii="宋体" w:hAnsi="宋体" w:cs="宋体"/>
          <w:b/>
          <w:color w:val="000000"/>
          <w:sz w:val="32"/>
          <w:szCs w:val="32"/>
        </w:rPr>
        <w:t xml:space="preserve">授权委托书</w:t>
      </w:r>
      <w:r>
        <w:rPr>
          <w:rFonts w:hint="eastAsia" w:ascii="宋体" w:hAnsi="宋体" w:cs="宋体"/>
          <w:b/>
          <w:color w:val="000000"/>
          <w:sz w:val="32"/>
          <w:szCs w:val="32"/>
        </w:rPr>
      </w:r>
      <w:r/>
    </w:p>
    <w:p>
      <w:pPr>
        <w:pStyle w:val="1136"/>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本授权委托书声明：___________________________（投标人名称）的_______________________（法定代表人（单位负责人）姓名、职务）代表投标人授权_______________________（被授权人的姓名、职务）为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rPr>
          <w:rFonts w:hint="eastAsia" w:ascii="宋体" w:hAnsi="宋体" w:cs="宋体"/>
          <w:color w:val="000000"/>
          <w:sz w:val="24"/>
        </w:rPr>
      </w:r>
      <w:r/>
    </w:p>
    <w:p>
      <w:pPr>
        <w:pStyle w:val="1136"/>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法定代表人（单位负责人）签字或盖章：             日期：</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职务：</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委托代理人签字或盖章：             日期：</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职务：</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投标人公章： </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电话：</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传真：</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邮编：</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账号：</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代理人身份证</w:t>
      </w:r>
      <w:r>
        <w:rPr>
          <w:rFonts w:hint="eastAsia" w:ascii="宋体" w:hAnsi="宋体" w:cs="宋体"/>
          <w:color w:val="000000"/>
          <w:sz w:val="24"/>
        </w:rPr>
      </w:r>
      <w:r/>
    </w:p>
    <w:p>
      <w:pPr>
        <w:pStyle w:val="1136"/>
        <w:spacing w:line="360" w:lineRule="auto"/>
        <w:rPr>
          <w:rFonts w:hint="eastAsia" w:ascii="宋体" w:hAnsi="宋体" w:cs="宋体"/>
          <w:color w:val="000000"/>
          <w:sz w:val="24"/>
        </w:rPr>
      </w:pPr>
      <w:r>
        <w:rPr>
          <w:rFonts w:hint="eastAsia" w:ascii="宋体" w:hAnsi="宋体" w:cs="宋体"/>
          <w:color w:val="000000"/>
          <w:sz w:val="24"/>
        </w:rPr>
        <w:t xml:space="preserve">（复印件）粘贴处</w:t>
      </w:r>
      <w:r>
        <w:rPr>
          <w:rFonts w:hint="eastAsia" w:ascii="宋体" w:hAnsi="宋体" w:cs="宋体"/>
          <w:color w:val="000000"/>
          <w:sz w:val="24"/>
        </w:rPr>
      </w:r>
      <w:r/>
    </w:p>
    <w:p>
      <w:pPr>
        <w:pStyle w:val="1136"/>
        <w:spacing w:line="240" w:lineRule="atLeast"/>
        <w:rPr>
          <w:color w:val="000000"/>
          <w:sz w:val="24"/>
        </w:rPr>
      </w:pPr>
      <w:r>
        <w:rPr>
          <w:rFonts w:hint="eastAsia" w:ascii="宋体" w:hAnsi="宋体" w:cs="宋体"/>
          <w:color w:val="000000"/>
          <w:sz w:val="24"/>
        </w:rPr>
        <w:br w:type="page" w:clear="all"/>
      </w:r>
      <w:r>
        <w:rPr>
          <w:color w:val="000000"/>
          <w:sz w:val="24"/>
        </w:rPr>
      </w:r>
      <w:r/>
    </w:p>
    <w:p>
      <w:pPr>
        <w:pStyle w:val="1136"/>
        <w:jc w:val="left"/>
        <w:widowControl/>
        <w:rPr>
          <w:color w:val="000000"/>
          <w:sz w:val="24"/>
        </w:rPr>
      </w:pPr>
      <w:r>
        <w:rPr>
          <w:color w:val="000000"/>
          <w:sz w:val="24"/>
        </w:rPr>
      </w:r>
      <w:r/>
    </w:p>
    <w:p>
      <w:pPr>
        <w:pStyle w:val="1136"/>
        <w:jc w:val="left"/>
        <w:widowControl/>
        <w:rPr>
          <w:color w:val="000000"/>
          <w:sz w:val="24"/>
        </w:rPr>
      </w:pPr>
      <w:r>
        <w:rPr>
          <w:color w:val="000000"/>
          <w:sz w:val="24"/>
        </w:rPr>
      </w:r>
      <w:r/>
    </w:p>
    <w:p>
      <w:pPr>
        <w:pStyle w:val="1136"/>
        <w:jc w:val="left"/>
        <w:widowControl/>
        <w:rPr>
          <w:color w:val="000000"/>
          <w:sz w:val="24"/>
        </w:rPr>
      </w:pPr>
      <w:r>
        <w:rPr>
          <w:rFonts w:hint="eastAsia"/>
          <w:color w:val="000000"/>
          <w:sz w:val="24"/>
        </w:rPr>
        <w:t xml:space="preserve">5 政府采购供应商信用承诺书</w:t>
      </w:r>
      <w:r>
        <w:rPr>
          <w:color w:val="000000"/>
          <w:sz w:val="24"/>
          <w:szCs w:val="20"/>
        </w:rPr>
        <w:t xml:space="preserve">（实质性格式）</w:t>
      </w:r>
      <w:r>
        <w:rPr>
          <w:color w:val="000000"/>
          <w:sz w:val="24"/>
        </w:rPr>
      </w:r>
      <w:r/>
    </w:p>
    <w:p>
      <w:pPr>
        <w:pStyle w:val="1136"/>
        <w:ind w:firstLine="321"/>
        <w:jc w:val="center"/>
        <w:spacing w:line="560" w:lineRule="exact"/>
        <w:rPr>
          <w:rFonts w:ascii="黑体" w:hAnsi="黑体" w:eastAsia="黑体"/>
          <w:b/>
          <w:sz w:val="32"/>
          <w:szCs w:val="32"/>
        </w:rPr>
      </w:pPr>
      <w:r>
        <w:rPr>
          <w:rFonts w:ascii="黑体" w:hAnsi="黑体" w:eastAsia="黑体"/>
          <w:b/>
          <w:sz w:val="32"/>
          <w:szCs w:val="32"/>
        </w:rPr>
      </w:r>
      <w:r/>
    </w:p>
    <w:p>
      <w:pPr>
        <w:pStyle w:val="113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36"/>
        <w:ind w:firstLine="640"/>
      </w:pPr>
      <w:r/>
      <w:r/>
    </w:p>
    <w:p>
      <w:pPr>
        <w:pStyle w:val="113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3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8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3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6"/>
        <w:spacing w:line="360" w:lineRule="auto"/>
        <w:rPr>
          <w:color w:val="000000"/>
          <w:sz w:val="24"/>
          <w:szCs w:val="20"/>
        </w:rPr>
        <w:outlineLvl w:val="2"/>
      </w:pPr>
      <w:r>
        <w:rPr>
          <w:color w:val="000000"/>
          <w:sz w:val="24"/>
          <w:szCs w:val="20"/>
        </w:rPr>
        <w:br w:type="page" w:clear="all"/>
      </w:r>
      <w:r>
        <w:rPr>
          <w:color w:val="000000"/>
          <w:sz w:val="24"/>
          <w:szCs w:val="20"/>
        </w:rPr>
      </w:r>
      <w:r/>
    </w:p>
    <w:p>
      <w:pPr>
        <w:pStyle w:val="1136"/>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报价一览表</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color w:val="000000"/>
          <w:sz w:val="24"/>
          <w:szCs w:val="20"/>
        </w:rPr>
      </w:r>
      <w:r/>
    </w:p>
    <w:p>
      <w:pPr>
        <w:pStyle w:val="1136"/>
        <w:jc w:val="center"/>
        <w:rPr>
          <w:b/>
          <w:color w:val="000000"/>
          <w:sz w:val="36"/>
          <w:szCs w:val="36"/>
        </w:rPr>
      </w:pPr>
      <w:r/>
      <w:bookmarkStart w:id="683" w:name="_Toc305158900"/>
      <w:r/>
      <w:bookmarkStart w:id="684" w:name="_Toc226309802"/>
      <w:r/>
      <w:bookmarkStart w:id="685" w:name="_Toc264969248"/>
      <w:r/>
      <w:bookmarkStart w:id="686" w:name="_Toc226965748"/>
      <w:r/>
      <w:bookmarkStart w:id="687" w:name="_Toc226965831"/>
      <w:r/>
      <w:bookmarkStart w:id="688" w:name="_Toc164608672"/>
      <w:r/>
      <w:bookmarkStart w:id="689" w:name="_Toc195842923"/>
      <w:r/>
      <w:bookmarkStart w:id="690" w:name="_Toc305158826"/>
      <w:r/>
      <w:bookmarkStart w:id="691" w:name="_Toc265228396"/>
      <w:r/>
      <w:bookmarkStart w:id="692" w:name="_Toc226337254"/>
      <w:r/>
      <w:bookmarkStart w:id="693" w:name="_Toc164608827"/>
      <w:r>
        <w:rPr>
          <w:rFonts w:hint="eastAsia"/>
          <w:b/>
          <w:color w:val="000000"/>
          <w:sz w:val="36"/>
          <w:szCs w:val="36"/>
        </w:rPr>
        <w:t xml:space="preserve">报价一览表</w:t>
      </w:r>
      <w:bookmarkEnd w:id="683"/>
      <w:r/>
      <w:bookmarkEnd w:id="684"/>
      <w:r/>
      <w:bookmarkEnd w:id="685"/>
      <w:r/>
      <w:bookmarkEnd w:id="686"/>
      <w:r/>
      <w:bookmarkEnd w:id="687"/>
      <w:r/>
      <w:bookmarkEnd w:id="688"/>
      <w:r/>
      <w:bookmarkEnd w:id="689"/>
      <w:r/>
      <w:bookmarkEnd w:id="690"/>
      <w:r/>
      <w:bookmarkEnd w:id="691"/>
      <w:r/>
      <w:bookmarkEnd w:id="692"/>
      <w:r/>
      <w:bookmarkEnd w:id="693"/>
      <w:r>
        <w:rPr>
          <w:b/>
          <w:color w:val="000000"/>
          <w:sz w:val="36"/>
          <w:szCs w:val="36"/>
        </w:rPr>
      </w:r>
      <w:r/>
    </w:p>
    <w:p>
      <w:pPr>
        <w:pStyle w:val="1136"/>
        <w:jc w:val="left"/>
        <w:spacing w:line="360" w:lineRule="auto"/>
        <w:tabs>
          <w:tab w:val="left" w:pos="1800" w:leader="none"/>
          <w:tab w:val="left" w:pos="5580" w:leader="none"/>
        </w:tabs>
        <w:rPr>
          <w:color w:val="000000"/>
          <w:sz w:val="24"/>
        </w:rPr>
      </w:pPr>
      <w:r>
        <w:rPr>
          <w:color w:val="000000"/>
          <w:sz w:val="24"/>
        </w:rPr>
      </w:r>
      <w:r/>
    </w:p>
    <w:p>
      <w:pPr>
        <w:pStyle w:val="113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10" w:type="dxa"/>
            <w:vAlign w:val="center"/>
            <w:vMerge w:val="restart"/>
            <w:textDirection w:val="lrTb"/>
            <w:noWrap w:val="false"/>
          </w:tcPr>
          <w:p>
            <w:pPr>
              <w:pStyle w:val="1136"/>
              <w:jc w:val="center"/>
              <w:tabs>
                <w:tab w:val="left" w:pos="5580" w:leader="none"/>
              </w:tabs>
              <w:rPr>
                <w:b/>
                <w:sz w:val="24"/>
              </w:rPr>
            </w:pPr>
            <w:r>
              <w:rPr>
                <w:rFonts w:hint="eastAsia"/>
                <w:b/>
                <w:sz w:val="24"/>
              </w:rPr>
              <w:t xml:space="preserve">序号</w:t>
            </w:r>
            <w:r>
              <w:rPr>
                <w:b/>
                <w:sz w:val="24"/>
              </w:rPr>
            </w:r>
            <w:r/>
          </w:p>
        </w:tc>
        <w:tc>
          <w:tcPr>
            <w:tcW w:w="3204" w:type="dxa"/>
            <w:vAlign w:val="center"/>
            <w:vMerge w:val="restart"/>
            <w:textDirection w:val="lrTb"/>
            <w:noWrap w:val="false"/>
          </w:tcPr>
          <w:p>
            <w:pPr>
              <w:pStyle w:val="1136"/>
              <w:jc w:val="center"/>
              <w:tabs>
                <w:tab w:val="left" w:pos="5580" w:leader="none"/>
              </w:tabs>
              <w:rPr>
                <w:b/>
                <w:sz w:val="24"/>
              </w:rPr>
            </w:pPr>
            <w:r>
              <w:rPr>
                <w:rFonts w:hint="eastAsia"/>
                <w:b/>
                <w:sz w:val="24"/>
              </w:rPr>
              <w:t xml:space="preserve">名称</w:t>
            </w:r>
            <w:r>
              <w:rPr>
                <w:b/>
                <w:sz w:val="24"/>
              </w:rPr>
            </w:r>
            <w:r/>
          </w:p>
        </w:tc>
        <w:tc>
          <w:tcPr>
            <w:gridSpan w:val="2"/>
            <w:tcW w:w="4158" w:type="dxa"/>
            <w:vAlign w:val="center"/>
            <w:textDirection w:val="lrTb"/>
            <w:noWrap w:val="false"/>
          </w:tcPr>
          <w:p>
            <w:pPr>
              <w:pStyle w:val="1136"/>
              <w:jc w:val="center"/>
              <w:tabs>
                <w:tab w:val="left" w:pos="5580" w:leader="none"/>
              </w:tabs>
              <w:rPr>
                <w:rFonts w:eastAsia="宋体"/>
                <w:b/>
                <w:sz w:val="24"/>
                <w:lang w:val="en-US" w:eastAsia="zh-CN"/>
              </w:rPr>
            </w:pPr>
            <w:r>
              <w:rPr>
                <w:rFonts w:hint="eastAsia"/>
                <w:b/>
                <w:sz w:val="24"/>
                <w:lang w:val="en-US" w:eastAsia="zh-CN"/>
              </w:rPr>
              <w:t xml:space="preserve">优惠率（%）</w:t>
            </w:r>
            <w:r>
              <w:rPr>
                <w:rFonts w:eastAsia="宋体"/>
                <w:b/>
                <w:sz w:val="24"/>
                <w:lang w:val="en-US" w:eastAsia="zh-CN"/>
              </w:rPr>
            </w:r>
            <w:r/>
          </w:p>
        </w:tc>
      </w:tr>
      <w:tr>
        <w:trPr>
          <w:trHeight w:val="674"/>
        </w:trPr>
        <w:tc>
          <w:tcPr>
            <w:tcW w:w="810" w:type="dxa"/>
            <w:vAlign w:val="center"/>
            <w:vMerge w:val="continue"/>
            <w:textDirection w:val="lrTb"/>
            <w:noWrap w:val="false"/>
          </w:tcPr>
          <w:p>
            <w:pPr>
              <w:pStyle w:val="1136"/>
              <w:jc w:val="left"/>
              <w:widowControl/>
              <w:rPr>
                <w:b/>
                <w:sz w:val="24"/>
              </w:rPr>
            </w:pPr>
            <w:r>
              <w:rPr>
                <w:b/>
                <w:sz w:val="24"/>
              </w:rPr>
            </w:r>
            <w:r/>
          </w:p>
        </w:tc>
        <w:tc>
          <w:tcPr>
            <w:tcW w:w="3204" w:type="dxa"/>
            <w:vAlign w:val="center"/>
            <w:vMerge w:val="continue"/>
            <w:textDirection w:val="lrTb"/>
            <w:noWrap w:val="false"/>
          </w:tcPr>
          <w:p>
            <w:pPr>
              <w:pStyle w:val="1136"/>
              <w:jc w:val="left"/>
              <w:widowControl/>
              <w:rPr>
                <w:b/>
                <w:sz w:val="24"/>
              </w:rPr>
            </w:pPr>
            <w:r>
              <w:rPr>
                <w:b/>
                <w:sz w:val="24"/>
              </w:rPr>
            </w:r>
            <w:r/>
          </w:p>
        </w:tc>
        <w:tc>
          <w:tcPr>
            <w:tcW w:w="2026" w:type="dxa"/>
            <w:vAlign w:val="center"/>
            <w:textDirection w:val="lrTb"/>
            <w:noWrap w:val="false"/>
          </w:tcPr>
          <w:p>
            <w:pPr>
              <w:pStyle w:val="1136"/>
              <w:jc w:val="center"/>
              <w:tabs>
                <w:tab w:val="left" w:pos="5580" w:leader="none"/>
              </w:tabs>
              <w:rPr>
                <w:b/>
                <w:sz w:val="24"/>
              </w:rPr>
            </w:pPr>
            <w:r>
              <w:rPr>
                <w:rFonts w:hint="eastAsia"/>
                <w:b/>
                <w:sz w:val="24"/>
              </w:rPr>
              <w:t xml:space="preserve">大写</w:t>
            </w:r>
            <w:r>
              <w:rPr>
                <w:b/>
                <w:sz w:val="24"/>
              </w:rPr>
            </w:r>
            <w:r/>
          </w:p>
        </w:tc>
        <w:tc>
          <w:tcPr>
            <w:tcW w:w="2132" w:type="dxa"/>
            <w:vAlign w:val="center"/>
            <w:textDirection w:val="lrTb"/>
            <w:noWrap w:val="false"/>
          </w:tcPr>
          <w:p>
            <w:pPr>
              <w:pStyle w:val="1136"/>
              <w:jc w:val="center"/>
              <w:tabs>
                <w:tab w:val="left" w:pos="5580" w:leader="none"/>
              </w:tabs>
              <w:rPr>
                <w:b/>
                <w:sz w:val="24"/>
              </w:rPr>
            </w:pPr>
            <w:r>
              <w:rPr>
                <w:rFonts w:hint="eastAsia"/>
                <w:b/>
                <w:sz w:val="24"/>
              </w:rPr>
              <w:t xml:space="preserve">小写</w:t>
            </w:r>
            <w:r>
              <w:rPr>
                <w:b/>
                <w:sz w:val="24"/>
              </w:rPr>
            </w:r>
            <w:r/>
          </w:p>
        </w:tc>
      </w:tr>
      <w:tr>
        <w:trPr>
          <w:trHeight w:val="976"/>
        </w:trPr>
        <w:tc>
          <w:tcPr>
            <w:tcW w:w="810" w:type="dxa"/>
            <w:vAlign w:val="center"/>
            <w:textDirection w:val="lrTb"/>
            <w:noWrap w:val="false"/>
          </w:tcPr>
          <w:p>
            <w:pPr>
              <w:pStyle w:val="1136"/>
              <w:jc w:val="center"/>
              <w:tabs>
                <w:tab w:val="left" w:pos="5580" w:leader="none"/>
              </w:tabs>
              <w:rPr>
                <w:sz w:val="24"/>
              </w:rPr>
            </w:pPr>
            <w:r>
              <w:rPr>
                <w:sz w:val="24"/>
              </w:rPr>
            </w:r>
            <w:r/>
          </w:p>
        </w:tc>
        <w:tc>
          <w:tcPr>
            <w:tcW w:w="3204" w:type="dxa"/>
            <w:vAlign w:val="center"/>
            <w:textDirection w:val="lrTb"/>
            <w:noWrap w:val="false"/>
          </w:tcPr>
          <w:p>
            <w:pPr>
              <w:pStyle w:val="1136"/>
              <w:jc w:val="center"/>
              <w:tabs>
                <w:tab w:val="left" w:pos="5580" w:leader="none"/>
              </w:tabs>
              <w:rPr>
                <w:sz w:val="24"/>
              </w:rPr>
            </w:pPr>
            <w:r>
              <w:rPr>
                <w:sz w:val="24"/>
              </w:rPr>
            </w:r>
            <w:r/>
          </w:p>
        </w:tc>
        <w:tc>
          <w:tcPr>
            <w:tcW w:w="2026" w:type="dxa"/>
            <w:vAlign w:val="center"/>
            <w:textDirection w:val="lrTb"/>
            <w:noWrap w:val="false"/>
          </w:tcPr>
          <w:p>
            <w:pPr>
              <w:pStyle w:val="1136"/>
              <w:jc w:val="center"/>
              <w:tabs>
                <w:tab w:val="left" w:pos="5580" w:leader="none"/>
              </w:tabs>
              <w:rPr>
                <w:sz w:val="24"/>
              </w:rPr>
            </w:pPr>
            <w:r>
              <w:rPr>
                <w:sz w:val="24"/>
              </w:rPr>
            </w:r>
            <w:r/>
          </w:p>
        </w:tc>
        <w:tc>
          <w:tcPr>
            <w:tcW w:w="2132" w:type="dxa"/>
            <w:vAlign w:val="center"/>
            <w:textDirection w:val="lrTb"/>
            <w:noWrap w:val="false"/>
          </w:tcPr>
          <w:p>
            <w:pPr>
              <w:pStyle w:val="1136"/>
              <w:jc w:val="center"/>
              <w:tabs>
                <w:tab w:val="left" w:pos="5580" w:leader="none"/>
              </w:tabs>
              <w:rPr>
                <w:sz w:val="24"/>
              </w:rPr>
            </w:pPr>
            <w:r>
              <w:rPr>
                <w:sz w:val="24"/>
              </w:rPr>
            </w:r>
            <w:r/>
          </w:p>
        </w:tc>
      </w:tr>
    </w:tbl>
    <w:p>
      <w:pPr>
        <w:pStyle w:val="1136"/>
        <w:jc w:val="left"/>
        <w:rPr>
          <w:color w:val="000000"/>
          <w:sz w:val="24"/>
        </w:rPr>
      </w:pPr>
      <w:r>
        <w:rPr>
          <w:color w:val="000000"/>
          <w:sz w:val="24"/>
        </w:rPr>
      </w:r>
      <w:r/>
    </w:p>
    <w:p>
      <w:pPr>
        <w:pStyle w:val="1136"/>
        <w:spacing w:before="25" w:after="25" w:line="360" w:lineRule="auto"/>
        <w:rPr>
          <w:color w:val="000000"/>
          <w:sz w:val="24"/>
          <w:lang w:val="zh-CN"/>
        </w:rPr>
      </w:pPr>
      <w:r>
        <w:rPr>
          <w:color w:val="000000"/>
          <w:sz w:val="24"/>
          <w:lang w:val="zh-CN"/>
        </w:rPr>
      </w:r>
      <w:r/>
    </w:p>
    <w:p>
      <w:pPr>
        <w:pStyle w:val="1136"/>
        <w:spacing w:before="25" w:after="25" w:line="360" w:lineRule="auto"/>
        <w:rPr>
          <w:color w:val="000000"/>
          <w:sz w:val="24"/>
          <w:lang w:val="zh-CN"/>
        </w:rPr>
      </w:pPr>
      <w:r>
        <w:rPr>
          <w:color w:val="000000"/>
          <w:sz w:val="24"/>
          <w:lang w:val="zh-CN"/>
        </w:rPr>
      </w:r>
      <w:r/>
    </w:p>
    <w:p>
      <w:pPr>
        <w:pStyle w:val="113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6"/>
        <w:jc w:val="left"/>
        <w:widowControl/>
        <w:rPr>
          <w:rFonts w:ascii="宋体" w:hAnsi="宋体" w:cs="宋体"/>
          <w:sz w:val="21"/>
          <w:szCs w:val="21"/>
        </w:rPr>
      </w:pPr>
      <w:r/>
      <w:bookmarkStart w:id="694" w:name="_Toc127151562"/>
      <w:r/>
      <w:bookmarkStart w:id="695" w:name="_Toc226337258"/>
      <w:r/>
      <w:bookmarkStart w:id="696" w:name="_Toc305158830"/>
      <w:r/>
      <w:bookmarkStart w:id="697" w:name="_Toc226965752"/>
      <w:r/>
      <w:bookmarkStart w:id="698" w:name="_Toc226309806"/>
      <w:r/>
      <w:bookmarkStart w:id="699" w:name="_Toc195842927"/>
      <w:r/>
      <w:bookmarkStart w:id="700" w:name="_Toc150774765"/>
      <w:r/>
      <w:bookmarkStart w:id="701" w:name="_Toc142311062"/>
      <w:r/>
      <w:bookmarkStart w:id="702" w:name="_Toc226965835"/>
      <w:r/>
      <w:bookmarkStart w:id="703" w:name="_Toc264969252"/>
      <w:r/>
      <w:bookmarkStart w:id="704" w:name="_Toc150480798"/>
      <w:r/>
      <w:bookmarkStart w:id="705" w:name="_Toc265228400"/>
      <w:r/>
      <w:bookmarkStart w:id="706" w:name="_Toc305158904"/>
      <w:r/>
      <w:bookmarkStart w:id="707" w:name="_Toc226309805"/>
      <w:r/>
      <w:bookmarkStart w:id="708" w:name="_Toc195842926"/>
      <w:r/>
      <w:bookmarkStart w:id="709" w:name="_Toc305158903"/>
      <w:r/>
      <w:bookmarkStart w:id="710" w:name="_Toc265228399"/>
      <w:r/>
      <w:bookmarkStart w:id="711" w:name="_Toc150480797"/>
      <w:r/>
      <w:bookmarkStart w:id="712" w:name="_Toc150774764"/>
      <w:r/>
      <w:bookmarkStart w:id="713" w:name="_Toc264969251"/>
      <w:r/>
      <w:bookmarkStart w:id="714" w:name="_Toc226337257"/>
      <w:r/>
      <w:bookmarkStart w:id="715" w:name="_Toc305158829"/>
      <w:r/>
      <w:bookmarkStart w:id="716" w:name="_Toc226965751"/>
      <w:r/>
      <w:bookmarkStart w:id="717" w:name="_Toc127151561"/>
      <w:r/>
      <w:bookmarkStart w:id="718" w:name="_Toc142311061"/>
      <w:r/>
      <w:bookmarkStart w:id="719" w:name="_Toc226965834"/>
      <w:r>
        <w:rPr>
          <w:rFonts w:ascii="宋体" w:hAnsi="宋体" w:cs="宋体"/>
          <w:sz w:val="21"/>
          <w:szCs w:val="21"/>
        </w:rPr>
        <w:br w:type="page" w:clear="all"/>
      </w:r>
      <w:r>
        <w:rPr>
          <w:rFonts w:ascii="宋体" w:hAnsi="宋体" w:cs="宋体"/>
          <w:sz w:val="21"/>
          <w:szCs w:val="21"/>
        </w:rPr>
      </w:r>
      <w:r/>
    </w:p>
    <w:p>
      <w:pPr>
        <w:pStyle w:val="1136"/>
        <w:jc w:val="left"/>
        <w:spacing w:before="240" w:after="240"/>
        <w:rPr>
          <w:color w:val="000000"/>
          <w:sz w:val="24"/>
          <w:szCs w:val="20"/>
        </w:rPr>
      </w:pPr>
      <w:r>
        <w:rPr>
          <w:rFonts w:hint="eastAsia"/>
          <w:color w:val="000000"/>
          <w:sz w:val="24"/>
          <w:szCs w:val="20"/>
          <w:lang w:val="en-US" w:eastAsia="zh-CN"/>
        </w:rPr>
        <w:t xml:space="preserve">7</w:t>
      </w:r>
      <w:r>
        <w:rPr>
          <w:color w:val="000000"/>
          <w:sz w:val="24"/>
          <w:szCs w:val="20"/>
        </w:rPr>
        <w:t xml:space="preserve"> 合同条款偏离表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color w:val="000000"/>
          <w:sz w:val="24"/>
          <w:szCs w:val="20"/>
        </w:rPr>
      </w:r>
      <w:r/>
    </w:p>
    <w:p>
      <w:pPr>
        <w:pStyle w:val="1136"/>
        <w:spacing w:line="360" w:lineRule="auto"/>
        <w:rPr>
          <w:color w:val="000000"/>
          <w:sz w:val="24"/>
          <w:szCs w:val="20"/>
        </w:rPr>
      </w:pPr>
      <w:r>
        <w:rPr>
          <w:color w:val="000000"/>
          <w:sz w:val="24"/>
          <w:szCs w:val="20"/>
        </w:rPr>
      </w:r>
      <w:r/>
    </w:p>
    <w:p>
      <w:pPr>
        <w:pStyle w:val="113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136"/>
        <w:jc w:val="center"/>
        <w:rPr>
          <w:color w:val="000000"/>
          <w:sz w:val="36"/>
          <w:szCs w:val="36"/>
        </w:rPr>
      </w:pPr>
      <w:r>
        <w:rPr>
          <w:color w:val="000000"/>
          <w:sz w:val="36"/>
          <w:szCs w:val="36"/>
        </w:rPr>
      </w:r>
      <w:r/>
    </w:p>
    <w:p>
      <w:pPr>
        <w:pStyle w:val="1136"/>
        <w:spacing w:line="360" w:lineRule="auto"/>
        <w:rPr>
          <w:color w:val="000000"/>
          <w:sz w:val="24"/>
          <w:szCs w:val="20"/>
        </w:rPr>
      </w:pPr>
      <w:r>
        <w:rPr>
          <w:color w:val="000000"/>
          <w:sz w:val="24"/>
          <w:szCs w:val="20"/>
        </w:rPr>
      </w:r>
      <w:r/>
    </w:p>
    <w:p>
      <w:pPr>
        <w:pStyle w:val="113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p>
      <w:pPr>
        <w:pStyle w:val="1136"/>
        <w:ind w:firstLine="360"/>
        <w:jc w:val="left"/>
        <w:spacing w:line="360" w:lineRule="auto"/>
        <w:tabs>
          <w:tab w:val="left" w:pos="1800" w:leader="none"/>
          <w:tab w:val="left" w:pos="5580" w:leader="none"/>
        </w:tabs>
        <w:rPr>
          <w:color w:val="000000"/>
          <w:sz w:val="24"/>
        </w:rPr>
      </w:pP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136"/>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136"/>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36"/>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7" w:type="dxa"/>
            <w:vAlign w:val="center"/>
            <w:textDirection w:val="lrTb"/>
            <w:noWrap w:val="false"/>
          </w:tcPr>
          <w:p>
            <w:pPr>
              <w:pStyle w:val="1136"/>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136"/>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1136"/>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136"/>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1136"/>
              <w:jc w:val="center"/>
              <w:rPr>
                <w:color w:val="000000"/>
                <w:sz w:val="24"/>
              </w:rPr>
            </w:pPr>
            <w:r>
              <w:rPr>
                <w:color w:val="000000"/>
                <w:sz w:val="24"/>
              </w:rPr>
              <w:t xml:space="preserve">偏离情况</w:t>
            </w:r>
            <w:r>
              <w:rPr>
                <w:color w:val="000000"/>
                <w:sz w:val="24"/>
              </w:rPr>
            </w:r>
            <w:r/>
          </w:p>
          <w:p>
            <w:pPr>
              <w:pStyle w:val="1136"/>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1136"/>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136"/>
              <w:jc w:val="center"/>
              <w:rPr>
                <w:color w:val="000000"/>
                <w:sz w:val="24"/>
              </w:rPr>
            </w:pPr>
            <w:r>
              <w:rPr>
                <w:color w:val="000000"/>
                <w:sz w:val="24"/>
              </w:rPr>
            </w:r>
            <w:r/>
          </w:p>
        </w:tc>
        <w:tc>
          <w:tcPr>
            <w:tcW w:w="1290" w:type="dxa"/>
            <w:vAlign w:val="center"/>
            <w:textDirection w:val="lrTb"/>
            <w:noWrap w:val="false"/>
          </w:tcPr>
          <w:p>
            <w:pPr>
              <w:pStyle w:val="1136"/>
              <w:jc w:val="center"/>
              <w:rPr>
                <w:color w:val="000000"/>
                <w:sz w:val="24"/>
              </w:rPr>
            </w:pPr>
            <w:r>
              <w:rPr>
                <w:color w:val="000000"/>
                <w:sz w:val="24"/>
              </w:rPr>
            </w:r>
            <w:r/>
          </w:p>
        </w:tc>
        <w:tc>
          <w:tcPr>
            <w:tcW w:w="1980" w:type="dxa"/>
            <w:vAlign w:val="center"/>
            <w:textDirection w:val="lrTb"/>
            <w:noWrap w:val="false"/>
          </w:tcPr>
          <w:p>
            <w:pPr>
              <w:pStyle w:val="1136"/>
              <w:jc w:val="center"/>
              <w:rPr>
                <w:color w:val="000000"/>
                <w:sz w:val="24"/>
              </w:rPr>
            </w:pPr>
            <w:r>
              <w:rPr>
                <w:color w:val="000000"/>
                <w:sz w:val="24"/>
              </w:rPr>
            </w:r>
            <w:r/>
          </w:p>
        </w:tc>
        <w:tc>
          <w:tcPr>
            <w:tcW w:w="1981" w:type="dxa"/>
            <w:vAlign w:val="center"/>
            <w:textDirection w:val="lrTb"/>
            <w:noWrap w:val="false"/>
          </w:tcPr>
          <w:p>
            <w:pPr>
              <w:pStyle w:val="1136"/>
              <w:jc w:val="center"/>
              <w:rPr>
                <w:color w:val="000000"/>
                <w:sz w:val="24"/>
              </w:rPr>
            </w:pPr>
            <w:r>
              <w:rPr>
                <w:color w:val="000000"/>
                <w:sz w:val="24"/>
              </w:rPr>
            </w:r>
            <w:r/>
          </w:p>
        </w:tc>
        <w:tc>
          <w:tcPr>
            <w:tcW w:w="2427" w:type="dxa"/>
            <w:vAlign w:val="center"/>
            <w:textDirection w:val="lrTb"/>
            <w:noWrap w:val="false"/>
          </w:tcPr>
          <w:p>
            <w:pPr>
              <w:pStyle w:val="1136"/>
              <w:jc w:val="center"/>
              <w:rPr>
                <w:color w:val="000000"/>
                <w:sz w:val="24"/>
              </w:rPr>
            </w:pPr>
            <w:r>
              <w:rPr>
                <w:color w:val="000000"/>
                <w:sz w:val="24"/>
              </w:rPr>
            </w:r>
            <w:r/>
          </w:p>
        </w:tc>
        <w:tc>
          <w:tcPr>
            <w:tcW w:w="783" w:type="dxa"/>
            <w:vAlign w:val="center"/>
            <w:textDirection w:val="lrTb"/>
            <w:noWrap w:val="false"/>
          </w:tcPr>
          <w:p>
            <w:pPr>
              <w:pStyle w:val="1136"/>
              <w:jc w:val="center"/>
              <w:rPr>
                <w:color w:val="000000"/>
                <w:sz w:val="24"/>
              </w:rPr>
            </w:pPr>
            <w:r>
              <w:rPr>
                <w:color w:val="000000"/>
                <w:sz w:val="24"/>
              </w:rPr>
            </w:r>
            <w:r/>
          </w:p>
        </w:tc>
      </w:tr>
      <w:tr>
        <w:trPr>
          <w:trHeight w:val="930"/>
        </w:trPr>
        <w:tc>
          <w:tcPr>
            <w:tcW w:w="827" w:type="dxa"/>
            <w:vAlign w:val="center"/>
            <w:textDirection w:val="lrTb"/>
            <w:noWrap w:val="false"/>
          </w:tcPr>
          <w:p>
            <w:pPr>
              <w:pStyle w:val="1136"/>
              <w:jc w:val="center"/>
              <w:rPr>
                <w:color w:val="000000"/>
                <w:sz w:val="24"/>
              </w:rPr>
            </w:pPr>
            <w:r>
              <w:rPr>
                <w:color w:val="000000"/>
                <w:sz w:val="24"/>
              </w:rPr>
            </w:r>
            <w:r/>
          </w:p>
        </w:tc>
        <w:tc>
          <w:tcPr>
            <w:tcW w:w="1290" w:type="dxa"/>
            <w:vAlign w:val="center"/>
            <w:textDirection w:val="lrTb"/>
            <w:noWrap w:val="false"/>
          </w:tcPr>
          <w:p>
            <w:pPr>
              <w:pStyle w:val="1136"/>
              <w:jc w:val="center"/>
              <w:rPr>
                <w:color w:val="000000"/>
                <w:sz w:val="24"/>
              </w:rPr>
            </w:pPr>
            <w:r>
              <w:rPr>
                <w:color w:val="000000"/>
                <w:sz w:val="24"/>
              </w:rPr>
            </w:r>
            <w:r/>
          </w:p>
        </w:tc>
        <w:tc>
          <w:tcPr>
            <w:tcW w:w="1980" w:type="dxa"/>
            <w:vAlign w:val="center"/>
            <w:textDirection w:val="lrTb"/>
            <w:noWrap w:val="false"/>
          </w:tcPr>
          <w:p>
            <w:pPr>
              <w:pStyle w:val="1136"/>
              <w:jc w:val="center"/>
              <w:rPr>
                <w:color w:val="000000"/>
                <w:sz w:val="24"/>
              </w:rPr>
            </w:pPr>
            <w:r>
              <w:rPr>
                <w:color w:val="000000"/>
                <w:sz w:val="24"/>
              </w:rPr>
            </w:r>
            <w:r/>
          </w:p>
        </w:tc>
        <w:tc>
          <w:tcPr>
            <w:tcW w:w="1981" w:type="dxa"/>
            <w:vAlign w:val="center"/>
            <w:textDirection w:val="lrTb"/>
            <w:noWrap w:val="false"/>
          </w:tcPr>
          <w:p>
            <w:pPr>
              <w:pStyle w:val="1136"/>
              <w:jc w:val="center"/>
              <w:rPr>
                <w:color w:val="000000"/>
                <w:sz w:val="24"/>
              </w:rPr>
            </w:pPr>
            <w:r>
              <w:rPr>
                <w:color w:val="000000"/>
                <w:sz w:val="24"/>
              </w:rPr>
            </w:r>
            <w:r/>
          </w:p>
        </w:tc>
        <w:tc>
          <w:tcPr>
            <w:tcW w:w="2427" w:type="dxa"/>
            <w:vAlign w:val="center"/>
            <w:textDirection w:val="lrTb"/>
            <w:noWrap w:val="false"/>
          </w:tcPr>
          <w:p>
            <w:pPr>
              <w:pStyle w:val="1136"/>
              <w:jc w:val="center"/>
              <w:rPr>
                <w:color w:val="000000"/>
                <w:sz w:val="24"/>
              </w:rPr>
            </w:pPr>
            <w:r>
              <w:rPr>
                <w:color w:val="000000"/>
                <w:sz w:val="24"/>
              </w:rPr>
            </w:r>
            <w:r/>
          </w:p>
        </w:tc>
        <w:tc>
          <w:tcPr>
            <w:tcW w:w="783" w:type="dxa"/>
            <w:vAlign w:val="center"/>
            <w:textDirection w:val="lrTb"/>
            <w:noWrap w:val="false"/>
          </w:tcPr>
          <w:p>
            <w:pPr>
              <w:pStyle w:val="1136"/>
              <w:jc w:val="center"/>
              <w:rPr>
                <w:color w:val="000000"/>
                <w:sz w:val="24"/>
              </w:rPr>
            </w:pPr>
            <w:r>
              <w:rPr>
                <w:color w:val="000000"/>
                <w:sz w:val="24"/>
              </w:rPr>
            </w:r>
            <w:r/>
          </w:p>
        </w:tc>
      </w:tr>
      <w:tr>
        <w:trPr>
          <w:trHeight w:val="930"/>
        </w:trPr>
        <w:tc>
          <w:tcPr>
            <w:tcW w:w="827" w:type="dxa"/>
            <w:vAlign w:val="center"/>
            <w:textDirection w:val="lrTb"/>
            <w:noWrap w:val="false"/>
          </w:tcPr>
          <w:p>
            <w:pPr>
              <w:pStyle w:val="1136"/>
              <w:jc w:val="center"/>
              <w:rPr>
                <w:color w:val="000000"/>
                <w:sz w:val="24"/>
              </w:rPr>
            </w:pPr>
            <w:r>
              <w:rPr>
                <w:color w:val="000000"/>
                <w:sz w:val="24"/>
              </w:rPr>
            </w:r>
            <w:r/>
          </w:p>
        </w:tc>
        <w:tc>
          <w:tcPr>
            <w:tcW w:w="1290" w:type="dxa"/>
            <w:vAlign w:val="center"/>
            <w:textDirection w:val="lrTb"/>
            <w:noWrap w:val="false"/>
          </w:tcPr>
          <w:p>
            <w:pPr>
              <w:pStyle w:val="1136"/>
              <w:jc w:val="center"/>
              <w:rPr>
                <w:color w:val="000000"/>
                <w:sz w:val="24"/>
              </w:rPr>
            </w:pPr>
            <w:r>
              <w:rPr>
                <w:color w:val="000000"/>
                <w:sz w:val="24"/>
              </w:rPr>
            </w:r>
            <w:r/>
          </w:p>
        </w:tc>
        <w:tc>
          <w:tcPr>
            <w:tcW w:w="1980" w:type="dxa"/>
            <w:vAlign w:val="center"/>
            <w:textDirection w:val="lrTb"/>
            <w:noWrap w:val="false"/>
          </w:tcPr>
          <w:p>
            <w:pPr>
              <w:pStyle w:val="1136"/>
              <w:jc w:val="center"/>
              <w:rPr>
                <w:color w:val="000000"/>
                <w:sz w:val="24"/>
              </w:rPr>
            </w:pPr>
            <w:r>
              <w:rPr>
                <w:color w:val="000000"/>
                <w:sz w:val="24"/>
              </w:rPr>
            </w:r>
            <w:r/>
          </w:p>
        </w:tc>
        <w:tc>
          <w:tcPr>
            <w:tcW w:w="1981" w:type="dxa"/>
            <w:vAlign w:val="center"/>
            <w:textDirection w:val="lrTb"/>
            <w:noWrap w:val="false"/>
          </w:tcPr>
          <w:p>
            <w:pPr>
              <w:pStyle w:val="1136"/>
              <w:jc w:val="center"/>
              <w:rPr>
                <w:color w:val="000000"/>
                <w:sz w:val="24"/>
              </w:rPr>
            </w:pPr>
            <w:r>
              <w:rPr>
                <w:color w:val="000000"/>
                <w:sz w:val="24"/>
              </w:rPr>
            </w:r>
            <w:r/>
          </w:p>
        </w:tc>
        <w:tc>
          <w:tcPr>
            <w:tcW w:w="2427" w:type="dxa"/>
            <w:vAlign w:val="center"/>
            <w:textDirection w:val="lrTb"/>
            <w:noWrap w:val="false"/>
          </w:tcPr>
          <w:p>
            <w:pPr>
              <w:pStyle w:val="1136"/>
              <w:jc w:val="center"/>
              <w:rPr>
                <w:color w:val="000000"/>
                <w:sz w:val="24"/>
              </w:rPr>
            </w:pPr>
            <w:r>
              <w:rPr>
                <w:color w:val="000000"/>
                <w:sz w:val="24"/>
              </w:rPr>
            </w:r>
            <w:r/>
          </w:p>
        </w:tc>
        <w:tc>
          <w:tcPr>
            <w:tcW w:w="783" w:type="dxa"/>
            <w:vAlign w:val="center"/>
            <w:textDirection w:val="lrTb"/>
            <w:noWrap w:val="false"/>
          </w:tcPr>
          <w:p>
            <w:pPr>
              <w:pStyle w:val="1136"/>
              <w:jc w:val="center"/>
              <w:rPr>
                <w:color w:val="000000"/>
                <w:sz w:val="24"/>
              </w:rPr>
            </w:pPr>
            <w:r>
              <w:rPr>
                <w:color w:val="000000"/>
                <w:sz w:val="24"/>
              </w:rPr>
            </w:r>
            <w:r/>
          </w:p>
        </w:tc>
      </w:tr>
      <w:tr>
        <w:trPr>
          <w:trHeight w:val="930"/>
        </w:trPr>
        <w:tc>
          <w:tcPr>
            <w:tcW w:w="827" w:type="dxa"/>
            <w:vAlign w:val="center"/>
            <w:textDirection w:val="lrTb"/>
            <w:noWrap w:val="false"/>
          </w:tcPr>
          <w:p>
            <w:pPr>
              <w:pStyle w:val="1136"/>
              <w:jc w:val="center"/>
              <w:rPr>
                <w:color w:val="000000"/>
                <w:sz w:val="24"/>
              </w:rPr>
            </w:pPr>
            <w:r>
              <w:rPr>
                <w:color w:val="000000"/>
                <w:sz w:val="24"/>
              </w:rPr>
            </w:r>
            <w:r/>
          </w:p>
        </w:tc>
        <w:tc>
          <w:tcPr>
            <w:tcW w:w="1290" w:type="dxa"/>
            <w:vAlign w:val="center"/>
            <w:textDirection w:val="lrTb"/>
            <w:noWrap w:val="false"/>
          </w:tcPr>
          <w:p>
            <w:pPr>
              <w:pStyle w:val="1136"/>
              <w:jc w:val="center"/>
              <w:rPr>
                <w:color w:val="000000"/>
                <w:sz w:val="24"/>
              </w:rPr>
            </w:pPr>
            <w:r>
              <w:rPr>
                <w:color w:val="000000"/>
                <w:sz w:val="24"/>
              </w:rPr>
            </w:r>
            <w:r/>
          </w:p>
        </w:tc>
        <w:tc>
          <w:tcPr>
            <w:tcW w:w="1980" w:type="dxa"/>
            <w:vAlign w:val="center"/>
            <w:textDirection w:val="lrTb"/>
            <w:noWrap w:val="false"/>
          </w:tcPr>
          <w:p>
            <w:pPr>
              <w:pStyle w:val="1136"/>
              <w:jc w:val="center"/>
              <w:rPr>
                <w:color w:val="000000"/>
                <w:sz w:val="24"/>
              </w:rPr>
            </w:pPr>
            <w:r>
              <w:rPr>
                <w:color w:val="000000"/>
                <w:sz w:val="24"/>
              </w:rPr>
            </w:r>
            <w:r/>
          </w:p>
        </w:tc>
        <w:tc>
          <w:tcPr>
            <w:tcW w:w="1981" w:type="dxa"/>
            <w:vAlign w:val="center"/>
            <w:textDirection w:val="lrTb"/>
            <w:noWrap w:val="false"/>
          </w:tcPr>
          <w:p>
            <w:pPr>
              <w:pStyle w:val="1136"/>
              <w:jc w:val="center"/>
              <w:rPr>
                <w:color w:val="000000"/>
                <w:sz w:val="24"/>
              </w:rPr>
            </w:pPr>
            <w:r>
              <w:rPr>
                <w:color w:val="000000"/>
                <w:sz w:val="24"/>
              </w:rPr>
            </w:r>
            <w:r/>
          </w:p>
        </w:tc>
        <w:tc>
          <w:tcPr>
            <w:tcW w:w="2427" w:type="dxa"/>
            <w:vAlign w:val="center"/>
            <w:textDirection w:val="lrTb"/>
            <w:noWrap w:val="false"/>
          </w:tcPr>
          <w:p>
            <w:pPr>
              <w:pStyle w:val="1136"/>
              <w:jc w:val="center"/>
              <w:rPr>
                <w:color w:val="000000"/>
                <w:sz w:val="24"/>
              </w:rPr>
            </w:pPr>
            <w:r>
              <w:rPr>
                <w:color w:val="000000"/>
                <w:sz w:val="24"/>
              </w:rPr>
            </w:r>
            <w:r/>
          </w:p>
        </w:tc>
        <w:tc>
          <w:tcPr>
            <w:tcW w:w="783" w:type="dxa"/>
            <w:vAlign w:val="center"/>
            <w:textDirection w:val="lrTb"/>
            <w:noWrap w:val="false"/>
          </w:tcPr>
          <w:p>
            <w:pPr>
              <w:pStyle w:val="1136"/>
              <w:jc w:val="center"/>
              <w:rPr>
                <w:color w:val="000000"/>
                <w:sz w:val="24"/>
              </w:rPr>
            </w:pPr>
            <w:r>
              <w:rPr>
                <w:color w:val="000000"/>
                <w:sz w:val="24"/>
              </w:rPr>
            </w:r>
            <w:r/>
          </w:p>
        </w:tc>
      </w:tr>
    </w:tbl>
    <w:p>
      <w:pPr>
        <w:pStyle w:val="1136"/>
        <w:jc w:val="left"/>
        <w:tabs>
          <w:tab w:val="left" w:pos="1800" w:leader="none"/>
          <w:tab w:val="left" w:pos="5580" w:leader="none"/>
        </w:tabs>
        <w:rPr>
          <w:color w:val="000000"/>
          <w:sz w:val="24"/>
        </w:rPr>
      </w:pPr>
      <w:r>
        <w:rPr>
          <w:color w:val="000000"/>
          <w:sz w:val="24"/>
        </w:rPr>
      </w:r>
      <w:r/>
    </w:p>
    <w:p>
      <w:pPr>
        <w:pStyle w:val="1136"/>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136"/>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136"/>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136"/>
        <w:spacing w:line="360" w:lineRule="auto"/>
        <w:rPr>
          <w:color w:val="000000"/>
          <w:sz w:val="24"/>
          <w:szCs w:val="20"/>
        </w:rPr>
      </w:pPr>
      <w:r>
        <w:rPr>
          <w:color w:val="000000"/>
          <w:sz w:val="24"/>
          <w:szCs w:val="20"/>
        </w:rPr>
      </w:r>
      <w:r/>
    </w:p>
    <w:p>
      <w:pPr>
        <w:pStyle w:val="1136"/>
        <w:spacing w:before="25" w:after="25" w:line="360" w:lineRule="auto"/>
        <w:rPr>
          <w:color w:val="000000"/>
          <w:sz w:val="24"/>
          <w:lang w:val="zh-CN"/>
        </w:rPr>
      </w:pPr>
      <w:r>
        <w:rPr>
          <w:color w:val="000000"/>
          <w:sz w:val="24"/>
          <w:lang w:val="zh-CN"/>
        </w:rPr>
      </w:r>
      <w:r/>
    </w:p>
    <w:p>
      <w:pPr>
        <w:pStyle w:val="113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6"/>
        <w:spacing w:line="360" w:lineRule="auto"/>
        <w:rPr>
          <w:color w:val="000000"/>
          <w:sz w:val="24"/>
          <w:szCs w:val="20"/>
        </w:rPr>
        <w:outlineLvl w:val="2"/>
      </w:pPr>
      <w:r>
        <w:rPr>
          <w:color w:val="000000"/>
          <w:sz w:val="24"/>
          <w:szCs w:val="20"/>
        </w:rPr>
        <w:br w:type="page" w:clear="all"/>
      </w:r>
      <w:r>
        <w:rPr>
          <w:color w:val="000000"/>
          <w:sz w:val="24"/>
          <w:szCs w:val="20"/>
        </w:rPr>
      </w:r>
      <w:r/>
    </w:p>
    <w:p>
      <w:pPr>
        <w:pStyle w:val="1136"/>
        <w:spacing w:line="360" w:lineRule="auto"/>
        <w:rPr>
          <w:color w:val="000000"/>
          <w:sz w:val="24"/>
          <w:szCs w:val="20"/>
        </w:rPr>
        <w:outlineLvl w:val="2"/>
      </w:pPr>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color w:val="000000"/>
          <w:sz w:val="24"/>
          <w:szCs w:val="20"/>
          <w:lang w:val="en-US" w:eastAsia="zh-CN"/>
        </w:rPr>
        <w:t xml:space="preserve">8</w:t>
      </w:r>
      <w:r>
        <w:rPr>
          <w:rFonts w:hint="eastAsia"/>
          <w:color w:val="000000"/>
          <w:sz w:val="24"/>
          <w:szCs w:val="20"/>
        </w:rPr>
        <w:t xml:space="preserve"> </w:t>
      </w:r>
      <w:r>
        <w:rPr>
          <w:color w:val="000000"/>
          <w:sz w:val="24"/>
          <w:szCs w:val="20"/>
        </w:rPr>
        <w:t xml:space="preserve">采购需求偏离表</w:t>
      </w:r>
      <w:r>
        <w:rPr>
          <w:color w:val="000000"/>
          <w:sz w:val="24"/>
          <w:szCs w:val="20"/>
        </w:rPr>
      </w:r>
      <w:r/>
    </w:p>
    <w:p>
      <w:pPr>
        <w:pStyle w:val="113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136"/>
        <w:jc w:val="center"/>
        <w:rPr>
          <w:color w:val="000000"/>
          <w:sz w:val="36"/>
          <w:szCs w:val="36"/>
        </w:rPr>
      </w:pPr>
      <w:r>
        <w:rPr>
          <w:color w:val="000000"/>
          <w:sz w:val="36"/>
          <w:szCs w:val="36"/>
        </w:rPr>
      </w:r>
      <w:r/>
    </w:p>
    <w:p>
      <w:pPr>
        <w:pStyle w:val="113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36"/>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136"/>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136"/>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136"/>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136"/>
              <w:jc w:val="center"/>
              <w:rPr>
                <w:color w:val="000000"/>
                <w:sz w:val="24"/>
              </w:rPr>
            </w:pPr>
            <w:r>
              <w:rPr>
                <w:color w:val="000000"/>
                <w:sz w:val="24"/>
              </w:rPr>
              <w:t xml:space="preserve">偏离情况</w:t>
            </w:r>
            <w:r>
              <w:rPr>
                <w:color w:val="000000"/>
                <w:sz w:val="24"/>
              </w:rPr>
            </w:r>
            <w:r/>
          </w:p>
          <w:p>
            <w:pPr>
              <w:pStyle w:val="1136"/>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136"/>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136"/>
              <w:jc w:val="center"/>
              <w:rPr>
                <w:color w:val="000000"/>
                <w:sz w:val="24"/>
              </w:rPr>
            </w:pPr>
            <w:r>
              <w:rPr>
                <w:color w:val="000000"/>
                <w:sz w:val="24"/>
              </w:rPr>
            </w:r>
            <w:r/>
          </w:p>
        </w:tc>
        <w:tc>
          <w:tcPr>
            <w:tcW w:w="1482" w:type="dxa"/>
            <w:vAlign w:val="center"/>
            <w:textDirection w:val="lrTb"/>
            <w:noWrap w:val="false"/>
          </w:tcPr>
          <w:p>
            <w:pPr>
              <w:pStyle w:val="1136"/>
              <w:jc w:val="center"/>
              <w:rPr>
                <w:color w:val="000000"/>
                <w:sz w:val="24"/>
              </w:rPr>
            </w:pPr>
            <w:r>
              <w:rPr>
                <w:color w:val="000000"/>
                <w:sz w:val="24"/>
              </w:rPr>
            </w:r>
            <w:r/>
          </w:p>
        </w:tc>
        <w:tc>
          <w:tcPr>
            <w:tcW w:w="2384" w:type="dxa"/>
            <w:vAlign w:val="center"/>
            <w:textDirection w:val="lrTb"/>
            <w:noWrap w:val="false"/>
          </w:tcPr>
          <w:p>
            <w:pPr>
              <w:pStyle w:val="1136"/>
              <w:jc w:val="center"/>
              <w:rPr>
                <w:color w:val="000000"/>
                <w:sz w:val="24"/>
              </w:rPr>
            </w:pPr>
            <w:r>
              <w:rPr>
                <w:color w:val="000000"/>
                <w:sz w:val="24"/>
              </w:rPr>
            </w:r>
            <w:r/>
          </w:p>
        </w:tc>
        <w:tc>
          <w:tcPr>
            <w:tcW w:w="2126" w:type="dxa"/>
            <w:vAlign w:val="center"/>
            <w:textDirection w:val="lrTb"/>
            <w:noWrap w:val="false"/>
          </w:tcPr>
          <w:p>
            <w:pPr>
              <w:pStyle w:val="1136"/>
              <w:jc w:val="center"/>
              <w:rPr>
                <w:color w:val="000000"/>
                <w:sz w:val="24"/>
              </w:rPr>
            </w:pPr>
            <w:r>
              <w:rPr>
                <w:color w:val="000000"/>
                <w:sz w:val="24"/>
              </w:rPr>
            </w:r>
            <w:r/>
          </w:p>
        </w:tc>
        <w:tc>
          <w:tcPr>
            <w:tcW w:w="1875" w:type="dxa"/>
            <w:vAlign w:val="center"/>
            <w:textDirection w:val="lrTb"/>
            <w:noWrap w:val="false"/>
          </w:tcPr>
          <w:p>
            <w:pPr>
              <w:pStyle w:val="1136"/>
              <w:jc w:val="center"/>
              <w:rPr>
                <w:color w:val="000000"/>
                <w:sz w:val="24"/>
              </w:rPr>
            </w:pPr>
            <w:r>
              <w:rPr>
                <w:color w:val="000000"/>
                <w:sz w:val="24"/>
              </w:rPr>
            </w:r>
            <w:r/>
          </w:p>
        </w:tc>
        <w:tc>
          <w:tcPr>
            <w:tcW w:w="1009" w:type="dxa"/>
            <w:vAlign w:val="center"/>
            <w:textDirection w:val="lrTb"/>
            <w:noWrap w:val="false"/>
          </w:tcPr>
          <w:p>
            <w:pPr>
              <w:pStyle w:val="1136"/>
              <w:jc w:val="center"/>
              <w:rPr>
                <w:color w:val="000000"/>
                <w:sz w:val="24"/>
              </w:rPr>
            </w:pPr>
            <w:r>
              <w:rPr>
                <w:color w:val="000000"/>
                <w:sz w:val="24"/>
              </w:rPr>
            </w:r>
            <w:r/>
          </w:p>
        </w:tc>
      </w:tr>
      <w:tr>
        <w:trPr>
          <w:trHeight w:val="930"/>
        </w:trPr>
        <w:tc>
          <w:tcPr>
            <w:tcW w:w="775" w:type="dxa"/>
            <w:vAlign w:val="center"/>
            <w:textDirection w:val="lrTb"/>
            <w:noWrap w:val="false"/>
          </w:tcPr>
          <w:p>
            <w:pPr>
              <w:pStyle w:val="1136"/>
              <w:jc w:val="center"/>
              <w:rPr>
                <w:color w:val="000000"/>
                <w:sz w:val="24"/>
              </w:rPr>
            </w:pPr>
            <w:r>
              <w:rPr>
                <w:color w:val="000000"/>
                <w:sz w:val="24"/>
              </w:rPr>
            </w:r>
            <w:r/>
          </w:p>
        </w:tc>
        <w:tc>
          <w:tcPr>
            <w:tcW w:w="1482" w:type="dxa"/>
            <w:vAlign w:val="center"/>
            <w:textDirection w:val="lrTb"/>
            <w:noWrap w:val="false"/>
          </w:tcPr>
          <w:p>
            <w:pPr>
              <w:pStyle w:val="1136"/>
              <w:jc w:val="center"/>
              <w:rPr>
                <w:color w:val="000000"/>
                <w:sz w:val="24"/>
              </w:rPr>
            </w:pPr>
            <w:r>
              <w:rPr>
                <w:color w:val="000000"/>
                <w:sz w:val="24"/>
              </w:rPr>
            </w:r>
            <w:r/>
          </w:p>
        </w:tc>
        <w:tc>
          <w:tcPr>
            <w:tcW w:w="2384" w:type="dxa"/>
            <w:vAlign w:val="center"/>
            <w:textDirection w:val="lrTb"/>
            <w:noWrap w:val="false"/>
          </w:tcPr>
          <w:p>
            <w:pPr>
              <w:pStyle w:val="1136"/>
              <w:jc w:val="center"/>
              <w:rPr>
                <w:color w:val="000000"/>
                <w:sz w:val="24"/>
              </w:rPr>
            </w:pPr>
            <w:r>
              <w:rPr>
                <w:color w:val="000000"/>
                <w:sz w:val="24"/>
              </w:rPr>
            </w:r>
            <w:r/>
          </w:p>
        </w:tc>
        <w:tc>
          <w:tcPr>
            <w:tcW w:w="2126" w:type="dxa"/>
            <w:vAlign w:val="center"/>
            <w:textDirection w:val="lrTb"/>
            <w:noWrap w:val="false"/>
          </w:tcPr>
          <w:p>
            <w:pPr>
              <w:pStyle w:val="1136"/>
              <w:jc w:val="center"/>
              <w:rPr>
                <w:color w:val="000000"/>
                <w:sz w:val="24"/>
              </w:rPr>
            </w:pPr>
            <w:r>
              <w:rPr>
                <w:color w:val="000000"/>
                <w:sz w:val="24"/>
              </w:rPr>
            </w:r>
            <w:r/>
          </w:p>
        </w:tc>
        <w:tc>
          <w:tcPr>
            <w:tcW w:w="1875" w:type="dxa"/>
            <w:vAlign w:val="center"/>
            <w:textDirection w:val="lrTb"/>
            <w:noWrap w:val="false"/>
          </w:tcPr>
          <w:p>
            <w:pPr>
              <w:pStyle w:val="1136"/>
              <w:jc w:val="center"/>
              <w:rPr>
                <w:color w:val="000000"/>
                <w:sz w:val="24"/>
              </w:rPr>
            </w:pPr>
            <w:r>
              <w:rPr>
                <w:color w:val="000000"/>
                <w:sz w:val="24"/>
              </w:rPr>
            </w:r>
            <w:r/>
          </w:p>
        </w:tc>
        <w:tc>
          <w:tcPr>
            <w:tcW w:w="1009" w:type="dxa"/>
            <w:vAlign w:val="center"/>
            <w:textDirection w:val="lrTb"/>
            <w:noWrap w:val="false"/>
          </w:tcPr>
          <w:p>
            <w:pPr>
              <w:pStyle w:val="1136"/>
              <w:jc w:val="center"/>
              <w:rPr>
                <w:color w:val="000000"/>
                <w:sz w:val="24"/>
              </w:rPr>
            </w:pPr>
            <w:r>
              <w:rPr>
                <w:color w:val="000000"/>
                <w:sz w:val="24"/>
              </w:rPr>
            </w:r>
            <w:r/>
          </w:p>
        </w:tc>
      </w:tr>
      <w:tr>
        <w:trPr>
          <w:trHeight w:val="930"/>
        </w:trPr>
        <w:tc>
          <w:tcPr>
            <w:tcW w:w="775" w:type="dxa"/>
            <w:vAlign w:val="center"/>
            <w:textDirection w:val="lrTb"/>
            <w:noWrap w:val="false"/>
          </w:tcPr>
          <w:p>
            <w:pPr>
              <w:pStyle w:val="1136"/>
              <w:jc w:val="center"/>
              <w:rPr>
                <w:color w:val="000000"/>
                <w:sz w:val="24"/>
              </w:rPr>
            </w:pPr>
            <w:r>
              <w:rPr>
                <w:color w:val="000000"/>
                <w:sz w:val="24"/>
              </w:rPr>
            </w:r>
            <w:r/>
          </w:p>
        </w:tc>
        <w:tc>
          <w:tcPr>
            <w:tcW w:w="1482" w:type="dxa"/>
            <w:vAlign w:val="center"/>
            <w:textDirection w:val="lrTb"/>
            <w:noWrap w:val="false"/>
          </w:tcPr>
          <w:p>
            <w:pPr>
              <w:pStyle w:val="1136"/>
              <w:jc w:val="center"/>
              <w:rPr>
                <w:color w:val="000000"/>
                <w:sz w:val="24"/>
              </w:rPr>
            </w:pPr>
            <w:r>
              <w:rPr>
                <w:color w:val="000000"/>
                <w:sz w:val="24"/>
              </w:rPr>
            </w:r>
            <w:r/>
          </w:p>
        </w:tc>
        <w:tc>
          <w:tcPr>
            <w:tcW w:w="2384" w:type="dxa"/>
            <w:vAlign w:val="center"/>
            <w:textDirection w:val="lrTb"/>
            <w:noWrap w:val="false"/>
          </w:tcPr>
          <w:p>
            <w:pPr>
              <w:pStyle w:val="1136"/>
              <w:jc w:val="center"/>
              <w:rPr>
                <w:color w:val="000000"/>
                <w:sz w:val="24"/>
              </w:rPr>
            </w:pPr>
            <w:r>
              <w:rPr>
                <w:color w:val="000000"/>
                <w:sz w:val="24"/>
              </w:rPr>
            </w:r>
            <w:r/>
          </w:p>
        </w:tc>
        <w:tc>
          <w:tcPr>
            <w:tcW w:w="2126" w:type="dxa"/>
            <w:vAlign w:val="center"/>
            <w:textDirection w:val="lrTb"/>
            <w:noWrap w:val="false"/>
          </w:tcPr>
          <w:p>
            <w:pPr>
              <w:pStyle w:val="1136"/>
              <w:jc w:val="center"/>
              <w:rPr>
                <w:color w:val="000000"/>
                <w:sz w:val="24"/>
              </w:rPr>
            </w:pPr>
            <w:r>
              <w:rPr>
                <w:color w:val="000000"/>
                <w:sz w:val="24"/>
              </w:rPr>
            </w:r>
            <w:r/>
          </w:p>
        </w:tc>
        <w:tc>
          <w:tcPr>
            <w:tcW w:w="1875" w:type="dxa"/>
            <w:vAlign w:val="center"/>
            <w:textDirection w:val="lrTb"/>
            <w:noWrap w:val="false"/>
          </w:tcPr>
          <w:p>
            <w:pPr>
              <w:pStyle w:val="1136"/>
              <w:jc w:val="center"/>
              <w:rPr>
                <w:color w:val="000000"/>
                <w:sz w:val="24"/>
              </w:rPr>
            </w:pPr>
            <w:r>
              <w:rPr>
                <w:color w:val="000000"/>
                <w:sz w:val="24"/>
              </w:rPr>
            </w:r>
            <w:r/>
          </w:p>
        </w:tc>
        <w:tc>
          <w:tcPr>
            <w:tcW w:w="1009" w:type="dxa"/>
            <w:vAlign w:val="center"/>
            <w:textDirection w:val="lrTb"/>
            <w:noWrap w:val="false"/>
          </w:tcPr>
          <w:p>
            <w:pPr>
              <w:pStyle w:val="1136"/>
              <w:jc w:val="center"/>
              <w:rPr>
                <w:color w:val="000000"/>
                <w:sz w:val="24"/>
              </w:rPr>
            </w:pPr>
            <w:r>
              <w:rPr>
                <w:color w:val="000000"/>
                <w:sz w:val="24"/>
              </w:rPr>
            </w:r>
            <w:r/>
          </w:p>
        </w:tc>
      </w:tr>
      <w:tr>
        <w:trPr>
          <w:trHeight w:val="930"/>
        </w:trPr>
        <w:tc>
          <w:tcPr>
            <w:tcW w:w="775" w:type="dxa"/>
            <w:vAlign w:val="center"/>
            <w:textDirection w:val="lrTb"/>
            <w:noWrap w:val="false"/>
          </w:tcPr>
          <w:p>
            <w:pPr>
              <w:pStyle w:val="1136"/>
              <w:jc w:val="center"/>
              <w:rPr>
                <w:color w:val="000000"/>
                <w:sz w:val="24"/>
              </w:rPr>
            </w:pPr>
            <w:r>
              <w:rPr>
                <w:color w:val="000000"/>
                <w:sz w:val="24"/>
              </w:rPr>
            </w:r>
            <w:r/>
          </w:p>
        </w:tc>
        <w:tc>
          <w:tcPr>
            <w:tcW w:w="1482" w:type="dxa"/>
            <w:vAlign w:val="center"/>
            <w:textDirection w:val="lrTb"/>
            <w:noWrap w:val="false"/>
          </w:tcPr>
          <w:p>
            <w:pPr>
              <w:pStyle w:val="1136"/>
              <w:jc w:val="center"/>
              <w:rPr>
                <w:color w:val="000000"/>
                <w:sz w:val="24"/>
              </w:rPr>
            </w:pPr>
            <w:r>
              <w:rPr>
                <w:color w:val="000000"/>
                <w:sz w:val="24"/>
              </w:rPr>
            </w:r>
            <w:r/>
          </w:p>
        </w:tc>
        <w:tc>
          <w:tcPr>
            <w:tcW w:w="2384" w:type="dxa"/>
            <w:vAlign w:val="center"/>
            <w:textDirection w:val="lrTb"/>
            <w:noWrap w:val="false"/>
          </w:tcPr>
          <w:p>
            <w:pPr>
              <w:pStyle w:val="1136"/>
              <w:jc w:val="center"/>
              <w:rPr>
                <w:color w:val="000000"/>
                <w:sz w:val="24"/>
              </w:rPr>
            </w:pPr>
            <w:r>
              <w:rPr>
                <w:color w:val="000000"/>
                <w:sz w:val="24"/>
              </w:rPr>
            </w:r>
            <w:r/>
          </w:p>
        </w:tc>
        <w:tc>
          <w:tcPr>
            <w:tcW w:w="2126" w:type="dxa"/>
            <w:vAlign w:val="center"/>
            <w:textDirection w:val="lrTb"/>
            <w:noWrap w:val="false"/>
          </w:tcPr>
          <w:p>
            <w:pPr>
              <w:pStyle w:val="1136"/>
              <w:jc w:val="center"/>
              <w:rPr>
                <w:color w:val="000000"/>
                <w:sz w:val="24"/>
              </w:rPr>
            </w:pPr>
            <w:r>
              <w:rPr>
                <w:color w:val="000000"/>
                <w:sz w:val="24"/>
              </w:rPr>
            </w:r>
            <w:r/>
          </w:p>
        </w:tc>
        <w:tc>
          <w:tcPr>
            <w:tcW w:w="1875" w:type="dxa"/>
            <w:vAlign w:val="center"/>
            <w:textDirection w:val="lrTb"/>
            <w:noWrap w:val="false"/>
          </w:tcPr>
          <w:p>
            <w:pPr>
              <w:pStyle w:val="1136"/>
              <w:jc w:val="center"/>
              <w:rPr>
                <w:color w:val="000000"/>
                <w:sz w:val="24"/>
              </w:rPr>
            </w:pPr>
            <w:r>
              <w:rPr>
                <w:color w:val="000000"/>
                <w:sz w:val="24"/>
              </w:rPr>
            </w:r>
            <w:r/>
          </w:p>
        </w:tc>
        <w:tc>
          <w:tcPr>
            <w:tcW w:w="1009" w:type="dxa"/>
            <w:vAlign w:val="center"/>
            <w:textDirection w:val="lrTb"/>
            <w:noWrap w:val="false"/>
          </w:tcPr>
          <w:p>
            <w:pPr>
              <w:pStyle w:val="1136"/>
              <w:jc w:val="center"/>
              <w:rPr>
                <w:color w:val="000000"/>
                <w:sz w:val="24"/>
              </w:rPr>
            </w:pPr>
            <w:r>
              <w:rPr>
                <w:color w:val="000000"/>
                <w:sz w:val="24"/>
              </w:rPr>
            </w:r>
            <w:r/>
          </w:p>
        </w:tc>
      </w:tr>
      <w:tr>
        <w:trPr>
          <w:trHeight w:val="930"/>
        </w:trPr>
        <w:tc>
          <w:tcPr>
            <w:tcW w:w="775" w:type="dxa"/>
            <w:vAlign w:val="center"/>
            <w:textDirection w:val="lrTb"/>
            <w:noWrap w:val="false"/>
          </w:tcPr>
          <w:p>
            <w:pPr>
              <w:pStyle w:val="1136"/>
              <w:jc w:val="center"/>
              <w:rPr>
                <w:color w:val="000000"/>
                <w:sz w:val="24"/>
              </w:rPr>
            </w:pPr>
            <w:r>
              <w:rPr>
                <w:color w:val="000000"/>
                <w:sz w:val="24"/>
              </w:rPr>
            </w:r>
            <w:r/>
          </w:p>
        </w:tc>
        <w:tc>
          <w:tcPr>
            <w:tcW w:w="1482" w:type="dxa"/>
            <w:vAlign w:val="center"/>
            <w:textDirection w:val="lrTb"/>
            <w:noWrap w:val="false"/>
          </w:tcPr>
          <w:p>
            <w:pPr>
              <w:pStyle w:val="1136"/>
              <w:jc w:val="center"/>
              <w:rPr>
                <w:color w:val="000000"/>
                <w:sz w:val="24"/>
              </w:rPr>
            </w:pPr>
            <w:r>
              <w:rPr>
                <w:color w:val="000000"/>
                <w:sz w:val="24"/>
              </w:rPr>
            </w:r>
            <w:r/>
          </w:p>
        </w:tc>
        <w:tc>
          <w:tcPr>
            <w:tcW w:w="2384" w:type="dxa"/>
            <w:vAlign w:val="center"/>
            <w:textDirection w:val="lrTb"/>
            <w:noWrap w:val="false"/>
          </w:tcPr>
          <w:p>
            <w:pPr>
              <w:pStyle w:val="1136"/>
              <w:jc w:val="center"/>
              <w:rPr>
                <w:color w:val="000000"/>
                <w:sz w:val="24"/>
              </w:rPr>
            </w:pPr>
            <w:r>
              <w:rPr>
                <w:color w:val="000000"/>
                <w:sz w:val="24"/>
              </w:rPr>
            </w:r>
            <w:r/>
          </w:p>
        </w:tc>
        <w:tc>
          <w:tcPr>
            <w:tcW w:w="2126" w:type="dxa"/>
            <w:vAlign w:val="center"/>
            <w:textDirection w:val="lrTb"/>
            <w:noWrap w:val="false"/>
          </w:tcPr>
          <w:p>
            <w:pPr>
              <w:pStyle w:val="1136"/>
              <w:jc w:val="center"/>
              <w:rPr>
                <w:color w:val="000000"/>
                <w:sz w:val="24"/>
              </w:rPr>
            </w:pPr>
            <w:r>
              <w:rPr>
                <w:color w:val="000000"/>
                <w:sz w:val="24"/>
              </w:rPr>
            </w:r>
            <w:r/>
          </w:p>
        </w:tc>
        <w:tc>
          <w:tcPr>
            <w:tcW w:w="1875" w:type="dxa"/>
            <w:vAlign w:val="center"/>
            <w:textDirection w:val="lrTb"/>
            <w:noWrap w:val="false"/>
          </w:tcPr>
          <w:p>
            <w:pPr>
              <w:pStyle w:val="1136"/>
              <w:jc w:val="center"/>
              <w:rPr>
                <w:color w:val="000000"/>
                <w:sz w:val="24"/>
              </w:rPr>
            </w:pPr>
            <w:r>
              <w:rPr>
                <w:color w:val="000000"/>
                <w:sz w:val="24"/>
              </w:rPr>
            </w:r>
            <w:r/>
          </w:p>
        </w:tc>
        <w:tc>
          <w:tcPr>
            <w:tcW w:w="1009" w:type="dxa"/>
            <w:vAlign w:val="center"/>
            <w:textDirection w:val="lrTb"/>
            <w:noWrap w:val="false"/>
          </w:tcPr>
          <w:p>
            <w:pPr>
              <w:pStyle w:val="1136"/>
              <w:jc w:val="center"/>
              <w:rPr>
                <w:color w:val="000000"/>
                <w:sz w:val="24"/>
              </w:rPr>
            </w:pPr>
            <w:r>
              <w:rPr>
                <w:color w:val="000000"/>
                <w:sz w:val="24"/>
              </w:rPr>
            </w:r>
            <w:r/>
          </w:p>
        </w:tc>
      </w:tr>
      <w:tr>
        <w:trPr>
          <w:trHeight w:val="930"/>
        </w:trPr>
        <w:tc>
          <w:tcPr>
            <w:tcW w:w="775" w:type="dxa"/>
            <w:vAlign w:val="center"/>
            <w:textDirection w:val="lrTb"/>
            <w:noWrap w:val="false"/>
          </w:tcPr>
          <w:p>
            <w:pPr>
              <w:pStyle w:val="1136"/>
              <w:jc w:val="center"/>
              <w:rPr>
                <w:color w:val="000000"/>
                <w:sz w:val="24"/>
              </w:rPr>
            </w:pPr>
            <w:r>
              <w:rPr>
                <w:color w:val="000000"/>
                <w:sz w:val="24"/>
              </w:rPr>
            </w:r>
            <w:r/>
          </w:p>
        </w:tc>
        <w:tc>
          <w:tcPr>
            <w:tcW w:w="1482" w:type="dxa"/>
            <w:vAlign w:val="center"/>
            <w:textDirection w:val="lrTb"/>
            <w:noWrap w:val="false"/>
          </w:tcPr>
          <w:p>
            <w:pPr>
              <w:pStyle w:val="1136"/>
              <w:jc w:val="center"/>
              <w:rPr>
                <w:color w:val="000000"/>
                <w:sz w:val="24"/>
              </w:rPr>
            </w:pPr>
            <w:r>
              <w:rPr>
                <w:color w:val="000000"/>
                <w:sz w:val="24"/>
              </w:rPr>
            </w:r>
            <w:r/>
          </w:p>
        </w:tc>
        <w:tc>
          <w:tcPr>
            <w:tcW w:w="2384" w:type="dxa"/>
            <w:vAlign w:val="center"/>
            <w:textDirection w:val="lrTb"/>
            <w:noWrap w:val="false"/>
          </w:tcPr>
          <w:p>
            <w:pPr>
              <w:pStyle w:val="1136"/>
              <w:jc w:val="center"/>
              <w:rPr>
                <w:color w:val="000000"/>
                <w:sz w:val="24"/>
              </w:rPr>
            </w:pPr>
            <w:r>
              <w:rPr>
                <w:color w:val="000000"/>
                <w:sz w:val="24"/>
              </w:rPr>
            </w:r>
            <w:r/>
          </w:p>
        </w:tc>
        <w:tc>
          <w:tcPr>
            <w:tcW w:w="2126" w:type="dxa"/>
            <w:vAlign w:val="center"/>
            <w:textDirection w:val="lrTb"/>
            <w:noWrap w:val="false"/>
          </w:tcPr>
          <w:p>
            <w:pPr>
              <w:pStyle w:val="1136"/>
              <w:jc w:val="center"/>
              <w:rPr>
                <w:color w:val="000000"/>
                <w:sz w:val="24"/>
              </w:rPr>
            </w:pPr>
            <w:r>
              <w:rPr>
                <w:color w:val="000000"/>
                <w:sz w:val="24"/>
              </w:rPr>
            </w:r>
            <w:r/>
          </w:p>
        </w:tc>
        <w:tc>
          <w:tcPr>
            <w:tcW w:w="1875" w:type="dxa"/>
            <w:vAlign w:val="center"/>
            <w:textDirection w:val="lrTb"/>
            <w:noWrap w:val="false"/>
          </w:tcPr>
          <w:p>
            <w:pPr>
              <w:pStyle w:val="1136"/>
              <w:jc w:val="center"/>
              <w:rPr>
                <w:color w:val="000000"/>
                <w:sz w:val="24"/>
              </w:rPr>
            </w:pPr>
            <w:r>
              <w:rPr>
                <w:color w:val="000000"/>
                <w:sz w:val="24"/>
              </w:rPr>
            </w:r>
            <w:r/>
          </w:p>
        </w:tc>
        <w:tc>
          <w:tcPr>
            <w:tcW w:w="1009" w:type="dxa"/>
            <w:vAlign w:val="center"/>
            <w:textDirection w:val="lrTb"/>
            <w:noWrap w:val="false"/>
          </w:tcPr>
          <w:p>
            <w:pPr>
              <w:pStyle w:val="1136"/>
              <w:jc w:val="center"/>
              <w:rPr>
                <w:color w:val="000000"/>
                <w:sz w:val="24"/>
              </w:rPr>
            </w:pPr>
            <w:r>
              <w:rPr>
                <w:color w:val="000000"/>
                <w:sz w:val="24"/>
              </w:rPr>
            </w:r>
            <w:r/>
          </w:p>
        </w:tc>
      </w:tr>
    </w:tbl>
    <w:p>
      <w:pPr>
        <w:pStyle w:val="113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3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36"/>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36"/>
        <w:jc w:val="left"/>
        <w:tabs>
          <w:tab w:val="left" w:pos="1800" w:leader="none"/>
          <w:tab w:val="left" w:pos="5580" w:leader="none"/>
        </w:tabs>
        <w:rPr>
          <w:sz w:val="24"/>
        </w:rPr>
      </w:pPr>
      <w:r>
        <w:rPr>
          <w:rFonts w:hint="eastAsia"/>
          <w:color w:val="000000"/>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136"/>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填写“正偏离”或“负偏离”或“无偏离”。</w:t>
      </w:r>
      <w:r>
        <w:rPr>
          <w:color w:val="000000"/>
          <w:sz w:val="24"/>
        </w:rPr>
      </w:r>
      <w:r/>
    </w:p>
    <w:p>
      <w:pPr>
        <w:pStyle w:val="1136"/>
        <w:jc w:val="left"/>
        <w:tabs>
          <w:tab w:val="left" w:pos="1800" w:leader="none"/>
          <w:tab w:val="left" w:pos="5580" w:leader="none"/>
        </w:tabs>
        <w:rPr>
          <w:color w:val="000000"/>
          <w:sz w:val="24"/>
        </w:rPr>
      </w:pPr>
      <w:r>
        <w:rPr>
          <w:color w:val="000000"/>
          <w:sz w:val="24"/>
        </w:rPr>
      </w:r>
      <w:r/>
    </w:p>
    <w:p>
      <w:pPr>
        <w:pStyle w:val="1136"/>
        <w:rPr>
          <w:color w:val="000000"/>
          <w:sz w:val="24"/>
          <w:szCs w:val="20"/>
        </w:rPr>
      </w:pPr>
      <w:r>
        <w:rPr>
          <w:color w:val="000000"/>
          <w:sz w:val="24"/>
          <w:szCs w:val="20"/>
        </w:rPr>
      </w:r>
      <w:r/>
    </w:p>
    <w:p>
      <w:pPr>
        <w:pStyle w:val="1136"/>
        <w:spacing w:before="25" w:after="25" w:line="360" w:lineRule="auto"/>
        <w:rPr>
          <w:color w:val="000000"/>
          <w:sz w:val="24"/>
          <w:lang w:val="zh-CN"/>
        </w:rPr>
      </w:pPr>
      <w:r>
        <w:rPr>
          <w:color w:val="000000"/>
          <w:sz w:val="24"/>
          <w:lang w:val="zh-CN"/>
        </w:rPr>
      </w:r>
      <w:r/>
    </w:p>
    <w:p>
      <w:pPr>
        <w:pStyle w:val="113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6"/>
        <w:spacing w:line="360" w:lineRule="auto"/>
        <w:rPr>
          <w:color w:val="000000"/>
          <w:sz w:val="24"/>
          <w:szCs w:val="20"/>
        </w:rPr>
        <w:outlineLvl w:val="2"/>
      </w:pPr>
      <w:r>
        <w:rPr>
          <w:color w:val="000000"/>
          <w:sz w:val="24"/>
          <w:szCs w:val="20"/>
        </w:rPr>
        <w:br w:type="page" w:clear="all"/>
      </w:r>
      <w:r>
        <w:rPr>
          <w:color w:val="000000"/>
          <w:sz w:val="24"/>
          <w:szCs w:val="20"/>
        </w:rPr>
      </w:r>
      <w:r/>
    </w:p>
    <w:p>
      <w:pPr>
        <w:pStyle w:val="1136"/>
        <w:rPr>
          <w:color w:val="000000"/>
          <w:sz w:val="24"/>
          <w:szCs w:val="20"/>
        </w:rPr>
      </w:pPr>
      <w:r>
        <w:rPr>
          <w:color w:val="000000"/>
          <w:sz w:val="24"/>
          <w:szCs w:val="20"/>
        </w:rPr>
      </w:r>
      <w:r/>
    </w:p>
    <w:p>
      <w:pPr>
        <w:pStyle w:val="1136"/>
        <w:rPr>
          <w:color w:val="000000"/>
          <w:sz w:val="24"/>
          <w:szCs w:val="20"/>
        </w:rPr>
      </w:pPr>
      <w:r>
        <w:rPr>
          <w:color w:val="000000"/>
          <w:sz w:val="24"/>
          <w:szCs w:val="20"/>
        </w:rPr>
      </w:r>
      <w:r/>
    </w:p>
    <w:p>
      <w:pPr>
        <w:pStyle w:val="1136"/>
        <w:rPr>
          <w:color w:val="000000"/>
          <w:sz w:val="24"/>
          <w:szCs w:val="20"/>
        </w:rPr>
      </w:pPr>
      <w:r>
        <w:rPr>
          <w:rFonts w:hint="eastAsia"/>
          <w:color w:val="000000"/>
          <w:sz w:val="24"/>
          <w:szCs w:val="20"/>
          <w:lang w:val="en-US" w:eastAsia="zh-CN"/>
        </w:rPr>
        <w:t xml:space="preserve">9</w:t>
      </w:r>
      <w:r>
        <w:rPr>
          <w:rFonts w:hint="eastAsia"/>
          <w:color w:val="000000"/>
          <w:sz w:val="24"/>
          <w:szCs w:val="20"/>
        </w:rPr>
        <w:t xml:space="preserve">  项目服务方案等，包括但不限于如下主题：</w:t>
      </w:r>
      <w:r>
        <w:rPr>
          <w:color w:val="000000"/>
          <w:sz w:val="24"/>
          <w:szCs w:val="20"/>
        </w:rPr>
      </w:r>
      <w:r/>
    </w:p>
    <w:p>
      <w:pPr>
        <w:pStyle w:val="1136"/>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136"/>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136"/>
        <w:spacing w:line="360" w:lineRule="auto"/>
        <w:rPr>
          <w:rFonts w:eastAsia="宋体"/>
          <w:color w:val="000000"/>
          <w:sz w:val="24"/>
          <w:szCs w:val="20"/>
          <w:lang w:val="en-US" w:eastAsia="zh-CN"/>
        </w:rPr>
        <w:outlineLvl w:val="2"/>
      </w:pPr>
      <w:r>
        <w:rPr>
          <w:rFonts w:hint="eastAsia"/>
          <w:color w:val="000000"/>
          <w:sz w:val="24"/>
          <w:szCs w:val="20"/>
          <w:lang w:val="en-US" w:eastAsia="zh-CN"/>
        </w:rPr>
        <w:t xml:space="preserve"> 按照评分标准中的方案内容</w:t>
      </w:r>
      <w:r>
        <w:rPr>
          <w:rFonts w:eastAsia="宋体"/>
          <w:color w:val="000000"/>
          <w:sz w:val="24"/>
          <w:szCs w:val="20"/>
          <w:lang w:val="en-US" w:eastAsia="zh-CN"/>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spacing w:line="360" w:lineRule="auto"/>
        <w:rPr>
          <w:color w:val="000000"/>
          <w:sz w:val="24"/>
          <w:szCs w:val="20"/>
        </w:rPr>
        <w:outlineLvl w:val="2"/>
      </w:pPr>
      <w:r>
        <w:rPr>
          <w:color w:val="000000"/>
          <w:sz w:val="24"/>
          <w:szCs w:val="20"/>
        </w:rPr>
        <w:br w:type="page" w:clear="all"/>
      </w:r>
      <w:r>
        <w:rPr>
          <w:color w:val="000000"/>
          <w:sz w:val="24"/>
          <w:szCs w:val="20"/>
        </w:rPr>
      </w:r>
      <w:r/>
    </w:p>
    <w:p>
      <w:pPr>
        <w:pStyle w:val="1136"/>
        <w:spacing w:line="360" w:lineRule="auto"/>
        <w:rPr>
          <w:color w:val="000000"/>
          <w:sz w:val="24"/>
          <w:szCs w:val="20"/>
        </w:rPr>
        <w:outlineLvl w:val="2"/>
      </w:pPr>
      <w:r>
        <w:rPr>
          <w:color w:val="000000"/>
          <w:sz w:val="24"/>
          <w:szCs w:val="20"/>
        </w:rPr>
      </w:r>
      <w:r/>
    </w:p>
    <w:p>
      <w:pPr>
        <w:pStyle w:val="1136"/>
        <w:rPr>
          <w:color w:val="000000"/>
          <w:sz w:val="24"/>
          <w:szCs w:val="20"/>
        </w:rPr>
      </w:pPr>
      <w:r>
        <w:rPr>
          <w:rFonts w:hint="eastAsia"/>
          <w:color w:val="000000"/>
          <w:sz w:val="24"/>
          <w:szCs w:val="20"/>
          <w:lang w:val="en-US" w:eastAsia="zh-CN"/>
        </w:rPr>
        <w:t xml:space="preserve">10</w:t>
      </w:r>
      <w:r>
        <w:rPr>
          <w:rFonts w:hint="eastAsia"/>
          <w:color w:val="000000"/>
          <w:sz w:val="24"/>
          <w:szCs w:val="20"/>
        </w:rPr>
        <w:t xml:space="preserve"> 参加本项目人员一览表</w:t>
      </w:r>
      <w:r>
        <w:rPr>
          <w:color w:val="000000"/>
          <w:sz w:val="24"/>
          <w:szCs w:val="20"/>
        </w:rPr>
      </w:r>
      <w:r/>
    </w:p>
    <w:p>
      <w:pPr>
        <w:pStyle w:val="1136"/>
        <w:jc w:val="center"/>
        <w:spacing w:line="360" w:lineRule="auto"/>
        <w:rPr>
          <w:rFonts w:ascii="宋体" w:hAnsi="宋体"/>
          <w:b/>
          <w:sz w:val="32"/>
          <w:szCs w:val="32"/>
        </w:rPr>
      </w:pPr>
      <w:r>
        <w:rPr>
          <w:rFonts w:ascii="宋体" w:hAnsi="宋体"/>
          <w:b/>
          <w:sz w:val="32"/>
          <w:szCs w:val="32"/>
        </w:rPr>
      </w:r>
      <w:r/>
    </w:p>
    <w:p>
      <w:pPr>
        <w:pStyle w:val="113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36"/>
        <w:spacing w:line="360" w:lineRule="auto"/>
        <w:rPr>
          <w:rFonts w:ascii="宋体" w:hAnsi="宋体"/>
          <w:sz w:val="22"/>
        </w:rPr>
      </w:pPr>
      <w:r>
        <w:rPr>
          <w:rFonts w:ascii="宋体" w:hAnsi="宋体"/>
          <w:sz w:val="22"/>
        </w:rPr>
      </w:r>
      <w:r/>
    </w:p>
    <w:p>
      <w:pPr>
        <w:pStyle w:val="1136"/>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3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36"/>
        <w:tabs>
          <w:tab w:val="left" w:pos="9765" w:leader="none"/>
        </w:tabs>
        <w:rPr>
          <w:rFonts w:ascii="宋体" w:hAnsi="宋体" w:cs="宋体"/>
          <w:b/>
          <w:sz w:val="24"/>
          <w:lang w:val="zh-CN"/>
        </w:rPr>
      </w:pPr>
      <w:r>
        <w:rPr>
          <w:rFonts w:ascii="宋体" w:hAnsi="宋体" w:cs="宋体"/>
          <w:b/>
          <w:sz w:val="24"/>
          <w:lang w:val="zh-CN"/>
        </w:rPr>
      </w:r>
      <w:r/>
    </w:p>
    <w:p>
      <w:pPr>
        <w:pStyle w:val="113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136"/>
        <w:spacing w:line="360" w:lineRule="auto"/>
        <w:rPr>
          <w:rFonts w:ascii="宋体" w:hAnsi="宋体"/>
          <w:sz w:val="24"/>
        </w:rPr>
      </w:pPr>
      <w:r>
        <w:rPr>
          <w:rFonts w:ascii="宋体" w:hAnsi="宋体"/>
          <w:sz w:val="24"/>
        </w:rPr>
      </w:r>
      <w:r/>
    </w:p>
    <w:p>
      <w:pPr>
        <w:pStyle w:val="113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6"/>
        <w:rPr>
          <w:sz w:val="22"/>
        </w:rPr>
      </w:pPr>
      <w:r>
        <w:rPr>
          <w:sz w:val="22"/>
        </w:rPr>
        <w:br w:type="page" w:clear="all"/>
      </w:r>
      <w:bookmarkStart w:id="720" w:name="_Toc288738839"/>
      <w:r/>
      <w:bookmarkStart w:id="721" w:name="_Toc288738397"/>
      <w:r>
        <w:rPr>
          <w:sz w:val="22"/>
        </w:rPr>
      </w:r>
      <w:r/>
    </w:p>
    <w:p>
      <w:pPr>
        <w:pStyle w:val="1136"/>
        <w:rPr>
          <w:rFonts w:hint="eastAsia"/>
          <w:color w:val="000000"/>
          <w:sz w:val="24"/>
          <w:szCs w:val="20"/>
        </w:rPr>
      </w:pPr>
      <w:r>
        <w:rPr>
          <w:rFonts w:hint="eastAsia"/>
          <w:color w:val="000000"/>
          <w:sz w:val="24"/>
          <w:szCs w:val="20"/>
        </w:rPr>
      </w:r>
      <w:r/>
    </w:p>
    <w:p>
      <w:pPr>
        <w:pStyle w:val="1136"/>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相关业绩案例一览表</w:t>
      </w:r>
      <w:r>
        <w:rPr>
          <w:color w:val="000000"/>
          <w:sz w:val="24"/>
          <w:szCs w:val="20"/>
        </w:rPr>
      </w:r>
      <w:r/>
    </w:p>
    <w:p>
      <w:pPr>
        <w:pStyle w:val="1136"/>
        <w:rPr>
          <w:color w:val="000000"/>
          <w:sz w:val="24"/>
          <w:szCs w:val="20"/>
        </w:rPr>
      </w:pPr>
      <w:r>
        <w:rPr>
          <w:color w:val="000000"/>
          <w:sz w:val="24"/>
          <w:szCs w:val="20"/>
        </w:rPr>
      </w:r>
      <w:r/>
    </w:p>
    <w:p>
      <w:pPr>
        <w:pStyle w:val="1136"/>
        <w:jc w:val="center"/>
        <w:rPr>
          <w:rFonts w:ascii="宋体" w:hAnsi="宋体"/>
          <w:b/>
          <w:sz w:val="32"/>
          <w:szCs w:val="32"/>
        </w:rPr>
      </w:pPr>
      <w:r>
        <w:rPr>
          <w:rFonts w:hint="eastAsia" w:ascii="宋体" w:hAnsi="宋体"/>
          <w:b/>
          <w:sz w:val="32"/>
          <w:szCs w:val="32"/>
        </w:rPr>
        <w:t xml:space="preserve">相关业绩案例一览表</w:t>
      </w:r>
      <w:bookmarkEnd w:id="720"/>
      <w:r/>
      <w:bookmarkEnd w:id="721"/>
      <w:r>
        <w:rPr>
          <w:rFonts w:ascii="宋体" w:hAnsi="宋体"/>
          <w:b/>
          <w:sz w:val="32"/>
          <w:szCs w:val="32"/>
        </w:rPr>
      </w:r>
      <w:r/>
    </w:p>
    <w:p>
      <w:pPr>
        <w:pStyle w:val="1136"/>
        <w:jc w:val="center"/>
        <w:spacing w:line="360" w:lineRule="auto"/>
        <w:rPr>
          <w:rFonts w:ascii="宋体" w:hAnsi="宋体"/>
          <w:b/>
          <w:sz w:val="28"/>
          <w:szCs w:val="30"/>
        </w:rPr>
      </w:pPr>
      <w:r>
        <w:rPr>
          <w:rFonts w:ascii="宋体" w:hAnsi="宋体"/>
          <w:b/>
          <w:sz w:val="28"/>
          <w:szCs w:val="30"/>
        </w:rPr>
      </w:r>
      <w:r/>
    </w:p>
    <w:p>
      <w:pPr>
        <w:pStyle w:val="1136"/>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6"/>
              <w:spacing w:line="360" w:lineRule="auto"/>
              <w:tabs>
                <w:tab w:val="left" w:pos="9765" w:leader="none"/>
              </w:tabs>
              <w:rPr>
                <w:rFonts w:ascii="宋体" w:hAnsi="宋体" w:cs="宋体"/>
                <w:sz w:val="24"/>
              </w:rPr>
            </w:pPr>
            <w:r>
              <w:rPr>
                <w:rFonts w:ascii="宋体" w:hAnsi="宋体" w:cs="宋体"/>
                <w:sz w:val="24"/>
              </w:rPr>
            </w:r>
            <w:r/>
          </w:p>
        </w:tc>
      </w:tr>
    </w:tbl>
    <w:p>
      <w:pPr>
        <w:pStyle w:val="1136"/>
        <w:tabs>
          <w:tab w:val="left" w:pos="9765" w:leader="none"/>
        </w:tabs>
        <w:rPr>
          <w:rFonts w:ascii="宋体" w:hAnsi="宋体" w:cs="宋体"/>
          <w:sz w:val="24"/>
          <w:lang w:val="zh-CN"/>
        </w:rPr>
      </w:pPr>
      <w:r>
        <w:rPr>
          <w:rFonts w:ascii="宋体" w:hAnsi="宋体" w:cs="宋体"/>
          <w:sz w:val="24"/>
          <w:lang w:val="zh-CN"/>
        </w:rPr>
      </w:r>
      <w:r/>
    </w:p>
    <w:p>
      <w:pPr>
        <w:pStyle w:val="1136"/>
        <w:spacing w:line="360" w:lineRule="auto"/>
        <w:rPr>
          <w:rFonts w:ascii="宋体" w:hAnsi="宋体" w:cs="宋体"/>
          <w:sz w:val="24"/>
        </w:rPr>
      </w:pPr>
      <w:r>
        <w:rPr>
          <w:rFonts w:ascii="宋体" w:hAnsi="宋体" w:cs="宋体"/>
          <w:sz w:val="24"/>
        </w:rPr>
      </w:r>
      <w:r/>
    </w:p>
    <w:p>
      <w:pPr>
        <w:pStyle w:val="113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3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6"/>
        <w:spacing w:line="360" w:lineRule="auto"/>
        <w:rPr>
          <w:color w:val="000000"/>
          <w:sz w:val="24"/>
          <w:szCs w:val="20"/>
        </w:rPr>
        <w:sectPr>
          <w:footnotePr/>
          <w:endnotePr/>
          <w:type w:val="nextPage"/>
          <w:pgSz w:w="11907" w:h="16840" w:orient="portrait"/>
          <w:pgMar w:top="1417" w:right="1134" w:bottom="1417" w:left="1701" w:header="851" w:footer="850" w:gutter="0"/>
          <w:cols w:num="1" w:sep="0" w:space="1701" w:equalWidth="1"/>
          <w:docGrid w:linePitch="360"/>
        </w:sectPr>
        <w:outlineLvl w:val="2"/>
      </w:pPr>
      <w:r>
        <w:rPr>
          <w:color w:val="000000"/>
          <w:sz w:val="24"/>
          <w:szCs w:val="20"/>
        </w:rPr>
      </w:r>
      <w:r/>
    </w:p>
    <w:p>
      <w:pPr>
        <w:pStyle w:val="1136"/>
        <w:jc w:val="left"/>
        <w:widowControl/>
        <w:rPr>
          <w:b/>
          <w:sz w:val="36"/>
          <w:szCs w:val="36"/>
        </w:rPr>
      </w:pPr>
      <w:r>
        <w:rPr>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磋商文件要求提供或供应商认为应附的其他材</w:t>
      </w:r>
      <w:r>
        <w:rPr>
          <w:rFonts w:hint="eastAsia"/>
          <w:color w:val="000000"/>
          <w:sz w:val="24"/>
          <w:szCs w:val="20"/>
        </w:rPr>
        <w:t xml:space="preserve">料</w:t>
      </w:r>
      <w:r>
        <w:rPr>
          <w:b/>
          <w:sz w:val="36"/>
          <w:szCs w:val="36"/>
        </w:rPr>
      </w:r>
      <w:r/>
    </w:p>
    <w:p>
      <w:pPr>
        <w:pStyle w:val="1136"/>
        <w:spacing w:line="360" w:lineRule="auto"/>
        <w:rPr>
          <w:b/>
          <w:sz w:val="36"/>
          <w:szCs w:val="36"/>
        </w:rPr>
        <w:outlineLvl w:val="2"/>
      </w:pPr>
      <w:r>
        <w:rPr>
          <w:b/>
          <w:sz w:val="36"/>
          <w:szCs w:val="36"/>
        </w:rPr>
      </w:r>
      <w:r/>
    </w:p>
    <w:p>
      <w:pPr>
        <w:pStyle w:val="1136"/>
        <w:jc w:val="left"/>
        <w:widowControl/>
        <w:rPr>
          <w:b/>
          <w:sz w:val="36"/>
          <w:szCs w:val="36"/>
        </w:rPr>
      </w:pPr>
      <w:r>
        <w:rPr>
          <w:b/>
          <w:sz w:val="36"/>
          <w:szCs w:val="36"/>
        </w:rPr>
      </w:r>
      <w:r/>
    </w:p>
    <w:p>
      <w:pPr>
        <w:pStyle w:val="1136"/>
        <w:jc w:val="left"/>
        <w:widowControl/>
        <w:rPr>
          <w:b/>
          <w:sz w:val="36"/>
          <w:szCs w:val="36"/>
        </w:rPr>
      </w:pPr>
      <w:r>
        <w:rPr>
          <w:b/>
          <w:sz w:val="36"/>
          <w:szCs w:val="36"/>
        </w:rPr>
      </w:r>
      <w:r/>
    </w:p>
    <w:p>
      <w:pPr>
        <w:pStyle w:val="1136"/>
        <w:jc w:val="left"/>
        <w:widowControl/>
        <w:rPr>
          <w:b/>
          <w:sz w:val="36"/>
          <w:szCs w:val="36"/>
        </w:rPr>
      </w:pPr>
      <w:r>
        <w:rPr>
          <w:b/>
          <w:sz w:val="36"/>
          <w:szCs w:val="36"/>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egoe UI">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方正小标宋简体">
    <w:panose1 w:val="020B0503020202020204"/>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S-PGothic">
    <w:panose1 w:val="020B060007020508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enter" w:pos="4153" w:leader="none"/>
        <w:tab w:val="right" w:pos="8306" w:leader="none"/>
      </w:tabs>
      <w:rPr>
        <w:rStyle w:val="1211"/>
      </w:rPr>
      <w:framePr w:wrap="around" w:vAnchor="text" w:hAnchor="margin" w:xAlign="center" w:y="1"/>
    </w:pPr>
    <w:r>
      <w:fldChar w:fldCharType="begin"/>
    </w:r>
    <w:r>
      <w:rPr>
        <w:rStyle w:val="1211"/>
      </w:rPr>
      <w:instrText xml:space="preserve">PAGE  </w:instrText>
    </w:r>
    <w:r>
      <w:fldChar w:fldCharType="end"/>
    </w:r>
    <w:r>
      <w:rPr>
        <w:rStyle w:val="1211"/>
      </w:rPr>
    </w:r>
    <w:r/>
  </w:p>
  <w:p>
    <w:pPr>
      <w:pStyle w:val="118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both"/>
      <w:tabs>
        <w:tab w:val="center" w:pos="4153" w:leader="none"/>
        <w:tab w:val="right" w:pos="8306" w:leader="none"/>
      </w:tabs>
      <w:rPr>
        <w:rFonts w:ascii="Times New Roman"/>
      </w:rPr>
    </w:pPr>
    <w:r>
      <w:rPr>
        <w:rFonts w:ascii="Times New Roman"/>
      </w:rPr>
    </w:r>
    <w:r/>
  </w:p>
  <w:p>
    <w:pPr>
      <w:pStyle w:val="1185"/>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113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1136"/>
                    </w:pPr>
                    <w:r/>
                    <w:r/>
                  </w:p>
                </w:txbxContent>
              </v:textbox>
            </v:shape>
          </w:pict>
        </mc:Fallback>
      </mc:AlternateContent>
    </w:r>
    <w:r>
      <w:rPr>
        <w:rFonts w:ascii="Times New Roman"/>
      </w:rPr>
    </w:r>
    <w:r/>
  </w:p>
  <w:p>
    <w:pPr>
      <w:pStyle w:val="1185"/>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enter" w:pos="4153" w:leader="none"/>
        <w:tab w:val="right" w:pos="8306" w:leader="none"/>
      </w:tabs>
      <w:rPr>
        <w:rStyle w:val="1211"/>
      </w:rPr>
      <w:framePr w:wrap="around" w:vAnchor="text" w:hAnchor="margin" w:xAlign="center" w:y="1"/>
    </w:pPr>
    <w:r>
      <w:rPr>
        <w:rStyle w:val="1211"/>
      </w:rPr>
      <w:fldChar w:fldCharType="begin"/>
    </w:r>
    <w:r>
      <w:rPr>
        <w:rStyle w:val="1211"/>
      </w:rPr>
      <w:instrText xml:space="preserve">PAGE  </w:instrText>
    </w:r>
    <w:r>
      <w:rPr>
        <w:rStyle w:val="1211"/>
      </w:rPr>
      <w:fldChar w:fldCharType="end"/>
    </w:r>
    <w:r>
      <w:rPr>
        <w:rStyle w:val="1211"/>
      </w:rPr>
    </w:r>
    <w:r/>
  </w:p>
  <w:p>
    <w:pPr>
      <w:pStyle w:val="1185"/>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enter" w:pos="4153" w:leader="none"/>
        <w:tab w:val="right" w:pos="8306" w:leader="none"/>
      </w:tabs>
      <w:rPr>
        <w:rStyle w:val="1211"/>
      </w:rPr>
      <w:framePr w:wrap="around" w:vAnchor="text" w:hAnchor="margin" w:xAlign="right" w:y="1"/>
    </w:pPr>
    <w:r>
      <w:rPr>
        <w:rStyle w:val="1211"/>
      </w:rPr>
      <w:fldChar w:fldCharType="begin"/>
    </w:r>
    <w:r>
      <w:rPr>
        <w:rStyle w:val="1211"/>
      </w:rPr>
      <w:instrText xml:space="preserve">PAGE  </w:instrText>
    </w:r>
    <w:r>
      <w:rPr>
        <w:rStyle w:val="1211"/>
      </w:rPr>
      <w:fldChar w:fldCharType="end"/>
    </w:r>
    <w:r>
      <w:rPr>
        <w:rStyle w:val="1211"/>
      </w:rPr>
    </w:r>
    <w:r/>
  </w:p>
  <w:p>
    <w:pPr>
      <w:pStyle w:val="1185"/>
      <w:ind w:right="360"/>
      <w:tabs>
        <w:tab w:val="center" w:pos="4153" w:leader="none"/>
        <w:tab w:val="right" w:pos="8306" w:leader="none"/>
      </w:tabs>
    </w:pPr>
    <w:r/>
    <w:r/>
  </w:p>
  <w:p>
    <w:pPr>
      <w:pStyle w:val="113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right"/>
      <w:tabs>
        <w:tab w:val="center" w:pos="4153" w:leader="none"/>
        <w:tab w:val="right" w:pos="8306" w:leader="none"/>
      </w:tabs>
    </w:pPr>
    <w:r>
      <w:rPr>
        <w:rFonts w:hint="eastAsia"/>
      </w:rPr>
      <w:t xml:space="preserve">常州正衡招投标有限公司竞争性磋商文件</w:t>
    </w:r>
    <w:r/>
  </w:p>
  <w:p>
    <w:pPr>
      <w:pStyle w:val="1188"/>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1188"/>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right"/>
      <w:tabs>
        <w:tab w:val="center" w:pos="4153" w:leader="none"/>
        <w:tab w:val="right" w:pos="8306" w:leader="none"/>
      </w:tabs>
    </w:pPr>
    <w:r>
      <w:rPr>
        <w:rFonts w:hint="eastAsia"/>
      </w:rPr>
      <w:t xml:space="preserve">常州正衡招投标有限公司竞争性磋商文件</w:t>
    </w:r>
    <w:r/>
  </w:p>
  <w:p>
    <w:pPr>
      <w:pStyle w:val="1188"/>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
  </w:p>
  <w:p>
    <w:pPr>
      <w:pStyle w:val="113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1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11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11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1136"/>
        <w:ind w:left="4941" w:hanging="1140"/>
        <w:tabs>
          <w:tab w:val="num" w:pos="4941" w:leader="none"/>
        </w:tabs>
      </w:pPr>
      <w:rPr>
        <w:rFonts w:hint="eastAsia"/>
      </w:rPr>
    </w:lvl>
    <w:lvl w:ilvl="1">
      <w:start w:val="1"/>
      <w:numFmt w:val="lowerLetter"/>
      <w:isLgl w:val="false"/>
      <w:suff w:val="tab"/>
      <w:lvlText w:val="%2)"/>
      <w:lvlJc w:val="left"/>
      <w:pPr>
        <w:pStyle w:val="1136"/>
        <w:ind w:left="4641" w:hanging="420"/>
        <w:tabs>
          <w:tab w:val="num" w:pos="4641" w:leader="none"/>
        </w:tabs>
      </w:pPr>
    </w:lvl>
    <w:lvl w:ilvl="2">
      <w:start w:val="1"/>
      <w:numFmt w:val="lowerRoman"/>
      <w:isLgl w:val="false"/>
      <w:suff w:val="tab"/>
      <w:lvlText w:val="%3."/>
      <w:lvlJc w:val="right"/>
      <w:pPr>
        <w:pStyle w:val="1136"/>
        <w:ind w:left="5061" w:hanging="420"/>
        <w:tabs>
          <w:tab w:val="num" w:pos="5061" w:leader="none"/>
        </w:tabs>
      </w:pPr>
    </w:lvl>
    <w:lvl w:ilvl="3">
      <w:start w:val="1"/>
      <w:numFmt w:val="decimal"/>
      <w:isLgl w:val="false"/>
      <w:suff w:val="tab"/>
      <w:lvlText w:val="%4."/>
      <w:lvlJc w:val="left"/>
      <w:pPr>
        <w:pStyle w:val="1136"/>
        <w:ind w:left="5481" w:hanging="420"/>
        <w:tabs>
          <w:tab w:val="num" w:pos="5481" w:leader="none"/>
        </w:tabs>
      </w:pPr>
    </w:lvl>
    <w:lvl w:ilvl="4">
      <w:start w:val="1"/>
      <w:numFmt w:val="lowerLetter"/>
      <w:isLgl w:val="false"/>
      <w:suff w:val="tab"/>
      <w:lvlText w:val="%5)"/>
      <w:lvlJc w:val="left"/>
      <w:pPr>
        <w:pStyle w:val="1136"/>
        <w:ind w:left="5901" w:hanging="420"/>
        <w:tabs>
          <w:tab w:val="num" w:pos="5901" w:leader="none"/>
        </w:tabs>
      </w:pPr>
    </w:lvl>
    <w:lvl w:ilvl="5">
      <w:start w:val="1"/>
      <w:numFmt w:val="lowerRoman"/>
      <w:isLgl w:val="false"/>
      <w:suff w:val="tab"/>
      <w:lvlText w:val="%6."/>
      <w:lvlJc w:val="right"/>
      <w:pPr>
        <w:pStyle w:val="1136"/>
        <w:ind w:left="6321" w:hanging="420"/>
        <w:tabs>
          <w:tab w:val="num" w:pos="6321" w:leader="none"/>
        </w:tabs>
      </w:pPr>
    </w:lvl>
    <w:lvl w:ilvl="6">
      <w:start w:val="1"/>
      <w:numFmt w:val="decimal"/>
      <w:isLgl w:val="false"/>
      <w:suff w:val="tab"/>
      <w:lvlText w:val="%7."/>
      <w:lvlJc w:val="left"/>
      <w:pPr>
        <w:pStyle w:val="1136"/>
        <w:ind w:left="6741" w:hanging="420"/>
        <w:tabs>
          <w:tab w:val="num" w:pos="6741" w:leader="none"/>
        </w:tabs>
      </w:pPr>
    </w:lvl>
    <w:lvl w:ilvl="7">
      <w:start w:val="1"/>
      <w:numFmt w:val="lowerLetter"/>
      <w:isLgl w:val="false"/>
      <w:suff w:val="tab"/>
      <w:lvlText w:val="%8)"/>
      <w:lvlJc w:val="left"/>
      <w:pPr>
        <w:pStyle w:val="1136"/>
        <w:ind w:left="7161" w:hanging="420"/>
        <w:tabs>
          <w:tab w:val="num" w:pos="7161" w:leader="none"/>
        </w:tabs>
      </w:pPr>
    </w:lvl>
    <w:lvl w:ilvl="8">
      <w:start w:val="1"/>
      <w:numFmt w:val="lowerRoman"/>
      <w:isLgl w:val="false"/>
      <w:suff w:val="tab"/>
      <w:lvlText w:val="%9."/>
      <w:lvlJc w:val="right"/>
      <w:pPr>
        <w:pStyle w:val="1136"/>
        <w:ind w:left="7581" w:hanging="420"/>
        <w:tabs>
          <w:tab w:val="num" w:pos="7581" w:leader="none"/>
        </w:tabs>
      </w:pPr>
    </w:lvl>
  </w:abstractNum>
  <w:abstractNum w:abstractNumId="8">
    <w:multiLevelType w:val="hybridMultilevel"/>
    <w:lvl w:ilvl="0">
      <w:start w:val="1"/>
      <w:numFmt w:val="decimal"/>
      <w:pStyle w:val="1249"/>
      <w:isLgl w:val="false"/>
      <w:suff w:val="tab"/>
      <w:lvlText w:val="%1."/>
      <w:lvlJc w:val="left"/>
      <w:pPr>
        <w:pStyle w:val="1136"/>
        <w:ind w:left="420" w:hanging="420"/>
      </w:pPr>
    </w:lvl>
    <w:lvl w:ilvl="1">
      <w:start w:val="1"/>
      <w:numFmt w:val="decimal"/>
      <w:isLgl w:val="false"/>
      <w:suff w:val="tab"/>
      <w:lvlText w:val="（%2）"/>
      <w:lvlJc w:val="left"/>
      <w:pPr>
        <w:pStyle w:val="1136"/>
        <w:ind w:left="1140" w:hanging="720"/>
        <w:tabs>
          <w:tab w:val="num" w:pos="1140" w:leader="none"/>
        </w:tabs>
      </w:pPr>
      <w:rPr>
        <w:rFonts w:hint="eastAsia"/>
      </w:rPr>
    </w:lvl>
    <w:lvl w:ilvl="2">
      <w:start w:val="1"/>
      <w:numFmt w:val="lowerRoman"/>
      <w:isLgl w:val="false"/>
      <w:suff w:val="tab"/>
      <w:lvlText w:val="%3."/>
      <w:lvlJc w:val="right"/>
      <w:pPr>
        <w:pStyle w:val="1136"/>
        <w:ind w:left="1260" w:hanging="420"/>
      </w:pPr>
    </w:lvl>
    <w:lvl w:ilvl="3">
      <w:start w:val="1"/>
      <w:numFmt w:val="decimal"/>
      <w:isLgl w:val="false"/>
      <w:suff w:val="tab"/>
      <w:lvlText w:val="%4."/>
      <w:lvlJc w:val="left"/>
      <w:pPr>
        <w:pStyle w:val="1136"/>
        <w:ind w:left="1680" w:hanging="420"/>
      </w:pPr>
    </w:lvl>
    <w:lvl w:ilvl="4">
      <w:start w:val="1"/>
      <w:numFmt w:val="lowerLetter"/>
      <w:isLgl w:val="false"/>
      <w:suff w:val="tab"/>
      <w:lvlText w:val="%5)"/>
      <w:lvlJc w:val="left"/>
      <w:pPr>
        <w:pStyle w:val="1136"/>
        <w:ind w:left="2100" w:hanging="420"/>
      </w:pPr>
    </w:lvl>
    <w:lvl w:ilvl="5">
      <w:start w:val="1"/>
      <w:numFmt w:val="lowerRoman"/>
      <w:isLgl w:val="false"/>
      <w:suff w:val="tab"/>
      <w:lvlText w:val="%6."/>
      <w:lvlJc w:val="right"/>
      <w:pPr>
        <w:pStyle w:val="1136"/>
        <w:ind w:left="2520" w:hanging="420"/>
      </w:pPr>
    </w:lvl>
    <w:lvl w:ilvl="6">
      <w:start w:val="1"/>
      <w:numFmt w:val="decimal"/>
      <w:isLgl w:val="false"/>
      <w:suff w:val="tab"/>
      <w:lvlText w:val="%7."/>
      <w:lvlJc w:val="left"/>
      <w:pPr>
        <w:pStyle w:val="1136"/>
        <w:ind w:left="2940" w:hanging="420"/>
      </w:pPr>
    </w:lvl>
    <w:lvl w:ilvl="7">
      <w:start w:val="1"/>
      <w:numFmt w:val="lowerLetter"/>
      <w:isLgl w:val="false"/>
      <w:suff w:val="tab"/>
      <w:lvlText w:val="%8)"/>
      <w:lvlJc w:val="left"/>
      <w:pPr>
        <w:pStyle w:val="1136"/>
        <w:ind w:left="3360" w:hanging="420"/>
      </w:pPr>
    </w:lvl>
    <w:lvl w:ilvl="8">
      <w:start w:val="1"/>
      <w:numFmt w:val="lowerRoman"/>
      <w:isLgl w:val="false"/>
      <w:suff w:val="tab"/>
      <w:lvlText w:val="%9."/>
      <w:lvlJc w:val="right"/>
      <w:pPr>
        <w:pStyle w:val="1136"/>
        <w:ind w:left="3780" w:hanging="420"/>
      </w:pPr>
    </w:lvl>
  </w:abstractNum>
  <w:abstractNum w:abstractNumId="9">
    <w:multiLevelType w:val="hybridMultilevel"/>
    <w:lvl w:ilvl="0">
      <w:start w:val="1"/>
      <w:numFmt w:val="lowerLetter"/>
      <w:pStyle w:val="1323"/>
      <w:isLgl w:val="false"/>
      <w:suff w:val="tab"/>
      <w:lvlText w:val="%1)"/>
      <w:lvlJc w:val="left"/>
      <w:pPr>
        <w:pStyle w:val="1136"/>
        <w:ind w:left="902" w:hanging="420"/>
      </w:pPr>
      <w:rPr>
        <w:color w:val="000000"/>
      </w:rPr>
    </w:lvl>
    <w:lvl w:ilvl="1">
      <w:start w:val="1"/>
      <w:numFmt w:val="lowerLetter"/>
      <w:isLgl w:val="false"/>
      <w:suff w:val="tab"/>
      <w:lvlText w:val="%2)"/>
      <w:lvlJc w:val="left"/>
      <w:pPr>
        <w:pStyle w:val="1136"/>
        <w:ind w:left="1322" w:hanging="420"/>
      </w:pPr>
    </w:lvl>
    <w:lvl w:ilvl="2">
      <w:start w:val="1"/>
      <w:numFmt w:val="lowerRoman"/>
      <w:isLgl w:val="false"/>
      <w:suff w:val="tab"/>
      <w:lvlText w:val="%3."/>
      <w:lvlJc w:val="right"/>
      <w:pPr>
        <w:pStyle w:val="1136"/>
        <w:ind w:left="1742" w:hanging="420"/>
      </w:pPr>
    </w:lvl>
    <w:lvl w:ilvl="3">
      <w:start w:val="1"/>
      <w:numFmt w:val="decimal"/>
      <w:isLgl w:val="false"/>
      <w:suff w:val="tab"/>
      <w:lvlText w:val="%4."/>
      <w:lvlJc w:val="left"/>
      <w:pPr>
        <w:pStyle w:val="1136"/>
        <w:ind w:left="2162" w:hanging="420"/>
      </w:pPr>
    </w:lvl>
    <w:lvl w:ilvl="4">
      <w:start w:val="1"/>
      <w:numFmt w:val="lowerLetter"/>
      <w:isLgl w:val="false"/>
      <w:suff w:val="tab"/>
      <w:lvlText w:val="%5)"/>
      <w:lvlJc w:val="left"/>
      <w:pPr>
        <w:pStyle w:val="1136"/>
        <w:ind w:left="2582" w:hanging="420"/>
      </w:pPr>
    </w:lvl>
    <w:lvl w:ilvl="5">
      <w:start w:val="1"/>
      <w:numFmt w:val="lowerRoman"/>
      <w:isLgl w:val="false"/>
      <w:suff w:val="tab"/>
      <w:lvlText w:val="%6."/>
      <w:lvlJc w:val="right"/>
      <w:pPr>
        <w:pStyle w:val="1136"/>
        <w:ind w:left="3002" w:hanging="420"/>
      </w:pPr>
    </w:lvl>
    <w:lvl w:ilvl="6">
      <w:start w:val="1"/>
      <w:numFmt w:val="decimal"/>
      <w:isLgl w:val="false"/>
      <w:suff w:val="tab"/>
      <w:lvlText w:val="%7."/>
      <w:lvlJc w:val="left"/>
      <w:pPr>
        <w:pStyle w:val="1136"/>
        <w:ind w:left="3422" w:hanging="420"/>
      </w:pPr>
    </w:lvl>
    <w:lvl w:ilvl="7">
      <w:start w:val="1"/>
      <w:numFmt w:val="lowerLetter"/>
      <w:isLgl w:val="false"/>
      <w:suff w:val="tab"/>
      <w:lvlText w:val="%8)"/>
      <w:lvlJc w:val="left"/>
      <w:pPr>
        <w:pStyle w:val="1136"/>
        <w:ind w:left="3842" w:hanging="420"/>
      </w:pPr>
    </w:lvl>
    <w:lvl w:ilvl="8">
      <w:start w:val="1"/>
      <w:numFmt w:val="lowerRoman"/>
      <w:isLgl w:val="false"/>
      <w:suff w:val="tab"/>
      <w:lvlText w:val="%9."/>
      <w:lvlJc w:val="right"/>
      <w:pPr>
        <w:pStyle w:val="1136"/>
        <w:ind w:left="4262" w:hanging="420"/>
      </w:pPr>
    </w:lvl>
  </w:abstractNum>
  <w:abstractNum w:abstractNumId="10">
    <w:multiLevelType w:val="hybridMultilevel"/>
    <w:lvl w:ilvl="0">
      <w:start w:val="1"/>
      <w:numFmt w:val="decimal"/>
      <w:pStyle w:val="1294"/>
      <w:isLgl w:val="false"/>
      <w:suff w:val="tab"/>
      <w:lvlText w:val="%1."/>
      <w:lvlJc w:val="left"/>
      <w:pPr>
        <w:pStyle w:val="113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43"/>
      <w:isLgl w:val="false"/>
      <w:suff w:val="nothing"/>
      <w:lvlText w:val="%1　"/>
      <w:lvlJc w:val="left"/>
      <w:pPr>
        <w:pStyle w:val="113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3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36"/>
        <w:ind w:left="-25" w:firstLine="0"/>
      </w:pPr>
      <w:rPr>
        <w:rFonts w:ascii="Times New Roman" w:hAnsi="Times New Roman" w:eastAsia="黑体"/>
        <w:b/>
        <w:i w:val="0"/>
        <w:sz w:val="28"/>
      </w:rPr>
    </w:lvl>
    <w:lvl w:ilvl="3">
      <w:start w:val="1"/>
      <w:numFmt w:val="decimal"/>
      <w:pStyle w:val="1279"/>
      <w:isLgl w:val="false"/>
      <w:suff w:val="nothing"/>
      <w:lvlText w:val="%1.%2.%3.%4　"/>
      <w:lvlJc w:val="left"/>
      <w:pPr>
        <w:pStyle w:val="113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3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36"/>
        <w:ind w:left="-25" w:firstLine="0"/>
      </w:pPr>
      <w:rPr>
        <w:rFonts w:ascii="Times New Roman" w:hAnsi="Times New Roman" w:eastAsia="宋体"/>
        <w:b/>
        <w:i w:val="0"/>
        <w:sz w:val="28"/>
      </w:rPr>
    </w:lvl>
    <w:lvl w:ilvl="6">
      <w:start w:val="1"/>
      <w:numFmt w:val="lowerLetter"/>
      <w:pStyle w:val="1300"/>
      <w:isLgl w:val="false"/>
      <w:suff w:val="tab"/>
      <w:lvlText w:val="%7) "/>
      <w:lvlJc w:val="left"/>
      <w:pPr>
        <w:pStyle w:val="1136"/>
        <w:ind w:left="-125" w:firstLine="400"/>
        <w:tabs>
          <w:tab w:val="num" w:pos="635" w:leader="none"/>
        </w:tabs>
      </w:pPr>
      <w:rPr>
        <w:rFonts w:ascii="Times New Roman" w:hAnsi="Times New Roman" w:eastAsia="宋体"/>
        <w:b/>
        <w:i w:val="0"/>
        <w:color w:val="000000"/>
        <w:sz w:val="28"/>
        <w:u w:val="none"/>
      </w:rPr>
    </w:lvl>
    <w:lvl w:ilvl="7">
      <w:start w:val="1"/>
      <w:numFmt w:val="decimal"/>
      <w:pStyle w:val="1263"/>
      <w:isLgl w:val="false"/>
      <w:suff w:val="tab"/>
      <w:lvlText w:val="%8) "/>
      <w:lvlJc w:val="left"/>
      <w:pPr>
        <w:pStyle w:val="113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36"/>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1136"/>
        <w:ind w:left="768" w:hanging="360"/>
        <w:tabs>
          <w:tab w:val="num" w:pos="768" w:leader="none"/>
        </w:tabs>
      </w:pPr>
      <w:rPr>
        <w:rFonts w:hint="eastAsia"/>
      </w:rPr>
    </w:lvl>
    <w:lvl w:ilvl="1">
      <w:start w:val="1"/>
      <w:numFmt w:val="decimal"/>
      <w:pStyle w:val="1281"/>
      <w:isLgl w:val="false"/>
      <w:suff w:val="tab"/>
      <w:lvlText w:val="%2、"/>
      <w:lvlJc w:val="left"/>
      <w:pPr>
        <w:pStyle w:val="1136"/>
        <w:ind w:left="1188" w:hanging="360"/>
        <w:tabs>
          <w:tab w:val="num" w:pos="1188" w:leader="none"/>
        </w:tabs>
      </w:pPr>
      <w:rPr>
        <w:rFonts w:hint="eastAsia"/>
      </w:rPr>
    </w:lvl>
    <w:lvl w:ilvl="2">
      <w:start w:val="1"/>
      <w:numFmt w:val="decimal"/>
      <w:isLgl w:val="false"/>
      <w:suff w:val="tab"/>
      <w:lvlText w:val="（%3）"/>
      <w:lvlJc w:val="left"/>
      <w:pPr>
        <w:pStyle w:val="1136"/>
        <w:ind w:left="1968" w:hanging="720"/>
        <w:tabs>
          <w:tab w:val="num" w:pos="1968" w:leader="none"/>
        </w:tabs>
      </w:pPr>
      <w:rPr>
        <w:rFonts w:hint="eastAsia"/>
        <w:u w:val="none"/>
      </w:rPr>
    </w:lvl>
    <w:lvl w:ilvl="3">
      <w:start w:val="1"/>
      <w:numFmt w:val="decimal"/>
      <w:isLgl w:val="false"/>
      <w:suff w:val="tab"/>
      <w:lvlText w:val="%4."/>
      <w:lvlJc w:val="left"/>
      <w:pPr>
        <w:pStyle w:val="1136"/>
        <w:ind w:left="2088" w:hanging="420"/>
        <w:tabs>
          <w:tab w:val="num" w:pos="2088" w:leader="none"/>
        </w:tabs>
      </w:pPr>
    </w:lvl>
    <w:lvl w:ilvl="4">
      <w:start w:val="1"/>
      <w:numFmt w:val="lowerLetter"/>
      <w:isLgl w:val="false"/>
      <w:suff w:val="tab"/>
      <w:lvlText w:val="%5)"/>
      <w:lvlJc w:val="left"/>
      <w:pPr>
        <w:pStyle w:val="1136"/>
        <w:ind w:left="2508" w:hanging="420"/>
        <w:tabs>
          <w:tab w:val="num" w:pos="2508" w:leader="none"/>
        </w:tabs>
      </w:pPr>
    </w:lvl>
    <w:lvl w:ilvl="5">
      <w:start w:val="1"/>
      <w:numFmt w:val="lowerRoman"/>
      <w:isLgl w:val="false"/>
      <w:suff w:val="tab"/>
      <w:lvlText w:val="%6."/>
      <w:lvlJc w:val="right"/>
      <w:pPr>
        <w:pStyle w:val="1136"/>
        <w:ind w:left="2928" w:hanging="420"/>
        <w:tabs>
          <w:tab w:val="num" w:pos="2928" w:leader="none"/>
        </w:tabs>
      </w:pPr>
    </w:lvl>
    <w:lvl w:ilvl="6">
      <w:start w:val="1"/>
      <w:numFmt w:val="decimal"/>
      <w:isLgl w:val="false"/>
      <w:suff w:val="tab"/>
      <w:lvlText w:val="%7."/>
      <w:lvlJc w:val="left"/>
      <w:pPr>
        <w:pStyle w:val="1136"/>
        <w:ind w:left="3348" w:hanging="420"/>
        <w:tabs>
          <w:tab w:val="num" w:pos="3348" w:leader="none"/>
        </w:tabs>
      </w:pPr>
    </w:lvl>
    <w:lvl w:ilvl="7">
      <w:start w:val="1"/>
      <w:numFmt w:val="lowerLetter"/>
      <w:isLgl w:val="false"/>
      <w:suff w:val="tab"/>
      <w:lvlText w:val="%8)"/>
      <w:lvlJc w:val="left"/>
      <w:pPr>
        <w:pStyle w:val="1136"/>
        <w:ind w:left="3768" w:hanging="420"/>
        <w:tabs>
          <w:tab w:val="num" w:pos="3768" w:leader="none"/>
        </w:tabs>
      </w:pPr>
    </w:lvl>
    <w:lvl w:ilvl="8">
      <w:start w:val="1"/>
      <w:numFmt w:val="lowerRoman"/>
      <w:isLgl w:val="false"/>
      <w:suff w:val="tab"/>
      <w:lvlText w:val="%9."/>
      <w:lvlJc w:val="right"/>
      <w:pPr>
        <w:pStyle w:val="1136"/>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1136"/>
        <w:ind w:left="900" w:hanging="900"/>
        <w:tabs>
          <w:tab w:val="num" w:pos="900" w:leader="none"/>
        </w:tabs>
      </w:pPr>
      <w:rPr>
        <w:rFonts w:hint="eastAsia"/>
      </w:rPr>
    </w:lvl>
    <w:lvl w:ilvl="1">
      <w:start w:val="1"/>
      <w:numFmt w:val="decimal"/>
      <w:isLgl w:val="false"/>
      <w:suff w:val="tab"/>
      <w:lvlText w:val="%1.%2"/>
      <w:lvlJc w:val="left"/>
      <w:pPr>
        <w:pStyle w:val="11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36"/>
        <w:ind w:left="1980" w:hanging="900"/>
        <w:tabs>
          <w:tab w:val="num" w:pos="1980" w:leader="none"/>
        </w:tabs>
      </w:pPr>
      <w:rPr>
        <w:rFonts w:hint="eastAsia"/>
      </w:rPr>
    </w:lvl>
    <w:lvl w:ilvl="3">
      <w:start w:val="1"/>
      <w:numFmt w:val="decimal"/>
      <w:isLgl w:val="false"/>
      <w:suff w:val="tab"/>
      <w:lvlText w:val="%1.%2.%3.%4"/>
      <w:lvlJc w:val="left"/>
      <w:pPr>
        <w:pStyle w:val="1136"/>
        <w:ind w:left="900" w:hanging="900"/>
        <w:tabs>
          <w:tab w:val="num" w:pos="900" w:leader="none"/>
        </w:tabs>
      </w:pPr>
      <w:rPr>
        <w:rFonts w:hint="eastAsia"/>
      </w:rPr>
    </w:lvl>
    <w:lvl w:ilvl="4">
      <w:start w:val="1"/>
      <w:numFmt w:val="decimal"/>
      <w:isLgl w:val="false"/>
      <w:suff w:val="tab"/>
      <w:lvlText w:val="%1.%2.%3.%4.%5"/>
      <w:lvlJc w:val="left"/>
      <w:pPr>
        <w:pStyle w:val="1136"/>
        <w:ind w:left="900" w:hanging="900"/>
        <w:tabs>
          <w:tab w:val="num" w:pos="900" w:leader="none"/>
        </w:tabs>
      </w:pPr>
      <w:rPr>
        <w:rFonts w:hint="eastAsia"/>
      </w:rPr>
    </w:lvl>
    <w:lvl w:ilvl="5">
      <w:start w:val="1"/>
      <w:numFmt w:val="decimal"/>
      <w:isLgl w:val="false"/>
      <w:suff w:val="tab"/>
      <w:lvlText w:val="%1.%2.%3.%4.%5.%6"/>
      <w:lvlJc w:val="left"/>
      <w:pPr>
        <w:pStyle w:val="1136"/>
        <w:ind w:left="900" w:hanging="900"/>
        <w:tabs>
          <w:tab w:val="num" w:pos="900" w:leader="none"/>
        </w:tabs>
      </w:pPr>
      <w:rPr>
        <w:rFonts w:hint="eastAsia"/>
      </w:rPr>
    </w:lvl>
    <w:lvl w:ilvl="6">
      <w:start w:val="1"/>
      <w:numFmt w:val="decimal"/>
      <w:isLgl w:val="false"/>
      <w:suff w:val="tab"/>
      <w:lvlText w:val="%1.%2.%3.%4.%5.%6.%7"/>
      <w:lvlJc w:val="left"/>
      <w:pPr>
        <w:pStyle w:val="1136"/>
        <w:ind w:left="900" w:hanging="900"/>
        <w:tabs>
          <w:tab w:val="num" w:pos="900" w:leader="none"/>
        </w:tabs>
      </w:pPr>
      <w:rPr>
        <w:rFonts w:hint="eastAsia"/>
      </w:rPr>
    </w:lvl>
    <w:lvl w:ilvl="7">
      <w:start w:val="1"/>
      <w:numFmt w:val="decimal"/>
      <w:isLgl w:val="false"/>
      <w:suff w:val="tab"/>
      <w:lvlText w:val="%1.%2.%3.%4.%5.%6.%7.%8"/>
      <w:lvlJc w:val="left"/>
      <w:pPr>
        <w:pStyle w:val="1136"/>
        <w:ind w:left="900" w:hanging="900"/>
        <w:tabs>
          <w:tab w:val="num" w:pos="900" w:leader="none"/>
        </w:tabs>
      </w:pPr>
      <w:rPr>
        <w:rFonts w:hint="eastAsia"/>
      </w:rPr>
    </w:lvl>
    <w:lvl w:ilvl="8">
      <w:start w:val="1"/>
      <w:numFmt w:val="decimal"/>
      <w:isLgl w:val="false"/>
      <w:suff w:val="tab"/>
      <w:lvlText w:val="%1.%2.%3.%4.%5.%6.%7.%8.%9"/>
      <w:lvlJc w:val="left"/>
      <w:pPr>
        <w:pStyle w:val="1136"/>
        <w:ind w:left="900" w:hanging="900"/>
        <w:tabs>
          <w:tab w:val="num" w:pos="900" w:leader="none"/>
        </w:tabs>
      </w:pPr>
      <w:rPr>
        <w:rFonts w:hint="eastAsia"/>
      </w:rPr>
    </w:lvl>
  </w:abstractNum>
  <w:abstractNum w:abstractNumId="14">
    <w:multiLevelType w:val="hybridMultilevel"/>
    <w:lvl w:ilvl="0">
      <w:start w:val="1"/>
      <w:numFmt w:val="decimal"/>
      <w:pStyle w:val="1248"/>
      <w:isLgl w:val="false"/>
      <w:suff w:val="tab"/>
      <w:lvlText w:val="%1)"/>
      <w:lvlJc w:val="left"/>
      <w:pPr>
        <w:pStyle w:val="1136"/>
        <w:ind w:left="420" w:hanging="420"/>
      </w:pPr>
    </w:lvl>
    <w:lvl w:ilvl="1">
      <w:start w:val="1"/>
      <w:numFmt w:val="lowerLetter"/>
      <w:isLgl w:val="false"/>
      <w:suff w:val="tab"/>
      <w:lvlText w:val="%2)"/>
      <w:lvlJc w:val="left"/>
      <w:pPr>
        <w:pStyle w:val="1136"/>
        <w:ind w:left="840" w:hanging="420"/>
      </w:pPr>
    </w:lvl>
    <w:lvl w:ilvl="2">
      <w:start w:val="1"/>
      <w:numFmt w:val="lowerRoman"/>
      <w:isLgl w:val="false"/>
      <w:suff w:val="tab"/>
      <w:lvlText w:val="%3."/>
      <w:lvlJc w:val="right"/>
      <w:pPr>
        <w:pStyle w:val="1136"/>
        <w:ind w:left="1260" w:hanging="420"/>
      </w:pPr>
    </w:lvl>
    <w:lvl w:ilvl="3">
      <w:start w:val="1"/>
      <w:numFmt w:val="decimal"/>
      <w:isLgl w:val="false"/>
      <w:suff w:val="tab"/>
      <w:lvlText w:val="%4."/>
      <w:lvlJc w:val="left"/>
      <w:pPr>
        <w:pStyle w:val="1136"/>
        <w:ind w:left="1680" w:hanging="420"/>
      </w:pPr>
    </w:lvl>
    <w:lvl w:ilvl="4">
      <w:start w:val="1"/>
      <w:numFmt w:val="lowerLetter"/>
      <w:isLgl w:val="false"/>
      <w:suff w:val="tab"/>
      <w:lvlText w:val="%5)"/>
      <w:lvlJc w:val="left"/>
      <w:pPr>
        <w:pStyle w:val="1136"/>
        <w:ind w:left="2100" w:hanging="420"/>
      </w:pPr>
    </w:lvl>
    <w:lvl w:ilvl="5">
      <w:start w:val="1"/>
      <w:numFmt w:val="lowerRoman"/>
      <w:isLgl w:val="false"/>
      <w:suff w:val="tab"/>
      <w:lvlText w:val="%6."/>
      <w:lvlJc w:val="right"/>
      <w:pPr>
        <w:pStyle w:val="1136"/>
        <w:ind w:left="2520" w:hanging="420"/>
      </w:pPr>
    </w:lvl>
    <w:lvl w:ilvl="6">
      <w:start w:val="1"/>
      <w:numFmt w:val="decimal"/>
      <w:isLgl w:val="false"/>
      <w:suff w:val="tab"/>
      <w:lvlText w:val="%7."/>
      <w:lvlJc w:val="left"/>
      <w:pPr>
        <w:pStyle w:val="1136"/>
        <w:ind w:left="2940" w:hanging="420"/>
      </w:pPr>
    </w:lvl>
    <w:lvl w:ilvl="7">
      <w:start w:val="1"/>
      <w:numFmt w:val="lowerLetter"/>
      <w:isLgl w:val="false"/>
      <w:suff w:val="tab"/>
      <w:lvlText w:val="%8)"/>
      <w:lvlJc w:val="left"/>
      <w:pPr>
        <w:pStyle w:val="1136"/>
        <w:ind w:left="3360" w:hanging="420"/>
      </w:pPr>
    </w:lvl>
    <w:lvl w:ilvl="8">
      <w:start w:val="1"/>
      <w:numFmt w:val="lowerRoman"/>
      <w:isLgl w:val="false"/>
      <w:suff w:val="tab"/>
      <w:lvlText w:val="%9."/>
      <w:lvlJc w:val="right"/>
      <w:pPr>
        <w:pStyle w:val="1136"/>
        <w:ind w:left="3780" w:hanging="420"/>
      </w:pPr>
    </w:lvl>
  </w:abstractNum>
  <w:abstractNum w:abstractNumId="15">
    <w:multiLevelType w:val="hybridMultilevel"/>
    <w:lvl w:ilvl="0">
      <w:start w:val="1"/>
      <w:numFmt w:val="decimal"/>
      <w:pStyle w:val="1348"/>
      <w:isLgl w:val="false"/>
      <w:suff w:val="tab"/>
      <w:lvlText w:val="%1"/>
      <w:lvlJc w:val="left"/>
      <w:pPr>
        <w:pStyle w:val="1136"/>
        <w:ind w:left="680" w:hanging="680"/>
      </w:pPr>
      <w:rPr>
        <w:rFonts w:hint="eastAsia" w:ascii="宋体" w:hAnsi="宋体" w:eastAsia="宋体"/>
      </w:rPr>
    </w:lvl>
    <w:lvl w:ilvl="1">
      <w:start w:val="1"/>
      <w:numFmt w:val="decimal"/>
      <w:pStyle w:val="1349"/>
      <w:isLgl w:val="false"/>
      <w:suff w:val="tab"/>
      <w:lvlText w:val="%1.%2"/>
      <w:lvlJc w:val="left"/>
      <w:pPr>
        <w:pStyle w:val="1136"/>
        <w:ind w:left="851" w:hanging="851"/>
      </w:pPr>
      <w:rPr>
        <w:rFonts w:hint="eastAsia" w:ascii="宋体" w:hAnsi="宋体" w:eastAsia="宋体"/>
        <w:color w:val="000000"/>
      </w:rPr>
    </w:lvl>
    <w:lvl w:ilvl="2">
      <w:start w:val="1"/>
      <w:numFmt w:val="decimal"/>
      <w:pStyle w:val="1350"/>
      <w:isLgl w:val="false"/>
      <w:suff w:val="tab"/>
      <w:lvlText w:val="%1.%2.%3"/>
      <w:lvlJc w:val="left"/>
      <w:pPr>
        <w:pStyle w:val="1136"/>
        <w:ind w:left="851" w:hanging="851"/>
      </w:pPr>
      <w:rPr>
        <w:rFonts w:hint="eastAsia"/>
      </w:rPr>
    </w:lvl>
    <w:lvl w:ilvl="3">
      <w:start w:val="1"/>
      <w:numFmt w:val="decimal"/>
      <w:isLgl w:val="false"/>
      <w:suff w:val="tab"/>
      <w:lvlText w:val="%1.%2.%3.%4"/>
      <w:lvlJc w:val="left"/>
      <w:pPr>
        <w:pStyle w:val="1136"/>
        <w:ind w:left="680" w:hanging="680"/>
      </w:pPr>
      <w:rPr>
        <w:rFonts w:hint="eastAsia"/>
      </w:rPr>
    </w:lvl>
    <w:lvl w:ilvl="4">
      <w:start w:val="1"/>
      <w:numFmt w:val="decimal"/>
      <w:isLgl w:val="false"/>
      <w:suff w:val="tab"/>
      <w:lvlText w:val="%1.%2.%3.%4.%5"/>
      <w:lvlJc w:val="left"/>
      <w:pPr>
        <w:pStyle w:val="1136"/>
        <w:ind w:left="680" w:hanging="680"/>
      </w:pPr>
      <w:rPr>
        <w:rFonts w:hint="eastAsia"/>
      </w:rPr>
    </w:lvl>
    <w:lvl w:ilvl="5">
      <w:start w:val="1"/>
      <w:numFmt w:val="decimal"/>
      <w:isLgl w:val="false"/>
      <w:suff w:val="tab"/>
      <w:lvlText w:val="%1.%2.%3.%4.%5.%6"/>
      <w:lvlJc w:val="left"/>
      <w:pPr>
        <w:pStyle w:val="1136"/>
        <w:ind w:left="680" w:hanging="680"/>
      </w:pPr>
      <w:rPr>
        <w:rFonts w:hint="eastAsia"/>
      </w:rPr>
    </w:lvl>
    <w:lvl w:ilvl="6">
      <w:start w:val="1"/>
      <w:numFmt w:val="decimal"/>
      <w:isLgl w:val="false"/>
      <w:suff w:val="tab"/>
      <w:lvlText w:val="%1.%2.%3.%4.%5.%6.%7"/>
      <w:lvlJc w:val="left"/>
      <w:pPr>
        <w:pStyle w:val="1136"/>
        <w:ind w:left="680" w:hanging="680"/>
      </w:pPr>
      <w:rPr>
        <w:rFonts w:hint="eastAsia"/>
      </w:rPr>
    </w:lvl>
    <w:lvl w:ilvl="7">
      <w:start w:val="1"/>
      <w:numFmt w:val="decimal"/>
      <w:isLgl w:val="false"/>
      <w:suff w:val="tab"/>
      <w:lvlText w:val="%1.%2.%3.%4.%5.%6.%7.%8"/>
      <w:lvlJc w:val="left"/>
      <w:pPr>
        <w:pStyle w:val="1136"/>
        <w:ind w:left="680" w:hanging="680"/>
      </w:pPr>
      <w:rPr>
        <w:rFonts w:hint="eastAsia"/>
      </w:rPr>
    </w:lvl>
    <w:lvl w:ilvl="8">
      <w:start w:val="1"/>
      <w:numFmt w:val="decimal"/>
      <w:isLgl w:val="false"/>
      <w:suff w:val="tab"/>
      <w:lvlText w:val="%1.%2.%3.%4.%5.%6.%7.%8.%9"/>
      <w:lvlJc w:val="left"/>
      <w:pPr>
        <w:pStyle w:val="1136"/>
        <w:ind w:left="680" w:hanging="680"/>
      </w:pPr>
      <w:rPr>
        <w:rFonts w:hint="eastAsia"/>
      </w:rPr>
    </w:lvl>
  </w:abstractNum>
  <w:abstractNum w:abstractNumId="16">
    <w:multiLevelType w:val="hybridMultilevel"/>
    <w:lvl w:ilvl="0">
      <w:start w:val="1"/>
      <w:numFmt w:val="decimal"/>
      <w:isLgl w:val="false"/>
      <w:suff w:val="tab"/>
      <w:lvlText w:val="%1"/>
      <w:lvlJc w:val="left"/>
      <w:pPr>
        <w:pStyle w:val="1136"/>
        <w:ind w:left="900" w:hanging="900"/>
        <w:tabs>
          <w:tab w:val="num" w:pos="900" w:leader="none"/>
        </w:tabs>
      </w:pPr>
      <w:rPr>
        <w:rFonts w:hint="eastAsia"/>
      </w:rPr>
    </w:lvl>
    <w:lvl w:ilvl="1">
      <w:start w:val="1"/>
      <w:numFmt w:val="decimal"/>
      <w:isLgl w:val="false"/>
      <w:suff w:val="tab"/>
      <w:lvlText w:val="%1.%2"/>
      <w:lvlJc w:val="left"/>
      <w:pPr>
        <w:pStyle w:val="1136"/>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36"/>
        <w:ind w:left="1980" w:hanging="900"/>
        <w:tabs>
          <w:tab w:val="num" w:pos="1980" w:leader="none"/>
        </w:tabs>
      </w:pPr>
      <w:rPr>
        <w:rFonts w:hint="eastAsia"/>
      </w:rPr>
    </w:lvl>
    <w:lvl w:ilvl="3">
      <w:start w:val="1"/>
      <w:numFmt w:val="decimal"/>
      <w:isLgl w:val="false"/>
      <w:suff w:val="tab"/>
      <w:lvlText w:val="%1.%2.%3.%4"/>
      <w:lvlJc w:val="left"/>
      <w:pPr>
        <w:pStyle w:val="1136"/>
        <w:ind w:left="900" w:hanging="900"/>
        <w:tabs>
          <w:tab w:val="num" w:pos="900" w:leader="none"/>
        </w:tabs>
      </w:pPr>
      <w:rPr>
        <w:rFonts w:hint="eastAsia"/>
      </w:rPr>
    </w:lvl>
    <w:lvl w:ilvl="4">
      <w:start w:val="1"/>
      <w:numFmt w:val="decimal"/>
      <w:isLgl w:val="false"/>
      <w:suff w:val="tab"/>
      <w:lvlText w:val="%1.%2.%3.%4.%5"/>
      <w:lvlJc w:val="left"/>
      <w:pPr>
        <w:pStyle w:val="1136"/>
        <w:ind w:left="900" w:hanging="900"/>
        <w:tabs>
          <w:tab w:val="num" w:pos="900" w:leader="none"/>
        </w:tabs>
      </w:pPr>
      <w:rPr>
        <w:rFonts w:hint="eastAsia"/>
      </w:rPr>
    </w:lvl>
    <w:lvl w:ilvl="5">
      <w:start w:val="1"/>
      <w:numFmt w:val="decimal"/>
      <w:isLgl w:val="false"/>
      <w:suff w:val="tab"/>
      <w:lvlText w:val="%1.%2.%3.%4.%5.%6"/>
      <w:lvlJc w:val="left"/>
      <w:pPr>
        <w:pStyle w:val="1136"/>
        <w:ind w:left="900" w:hanging="900"/>
        <w:tabs>
          <w:tab w:val="num" w:pos="900" w:leader="none"/>
        </w:tabs>
      </w:pPr>
      <w:rPr>
        <w:rFonts w:hint="eastAsia"/>
      </w:rPr>
    </w:lvl>
    <w:lvl w:ilvl="6">
      <w:start w:val="1"/>
      <w:numFmt w:val="decimal"/>
      <w:isLgl w:val="false"/>
      <w:suff w:val="tab"/>
      <w:lvlText w:val="%1.%2.%3.%4.%5.%6.%7"/>
      <w:lvlJc w:val="left"/>
      <w:pPr>
        <w:pStyle w:val="1136"/>
        <w:ind w:left="900" w:hanging="900"/>
        <w:tabs>
          <w:tab w:val="num" w:pos="900" w:leader="none"/>
        </w:tabs>
      </w:pPr>
      <w:rPr>
        <w:rFonts w:hint="eastAsia"/>
      </w:rPr>
    </w:lvl>
    <w:lvl w:ilvl="7">
      <w:start w:val="1"/>
      <w:numFmt w:val="decimal"/>
      <w:isLgl w:val="false"/>
      <w:suff w:val="tab"/>
      <w:lvlText w:val="%1.%2.%3.%4.%5.%6.%7.%8"/>
      <w:lvlJc w:val="left"/>
      <w:pPr>
        <w:pStyle w:val="1136"/>
        <w:ind w:left="900" w:hanging="900"/>
        <w:tabs>
          <w:tab w:val="num" w:pos="900" w:leader="none"/>
        </w:tabs>
      </w:pPr>
      <w:rPr>
        <w:rFonts w:hint="eastAsia"/>
      </w:rPr>
    </w:lvl>
    <w:lvl w:ilvl="8">
      <w:start w:val="1"/>
      <w:numFmt w:val="decimal"/>
      <w:isLgl w:val="false"/>
      <w:suff w:val="tab"/>
      <w:lvlText w:val="%1.%2.%3.%4.%5.%6.%7.%8.%9"/>
      <w:lvlJc w:val="left"/>
      <w:pPr>
        <w:pStyle w:val="113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136"/>
        <w:ind w:left="900" w:hanging="900"/>
        <w:tabs>
          <w:tab w:val="num" w:pos="900" w:leader="none"/>
        </w:tabs>
      </w:pPr>
      <w:rPr>
        <w:rFonts w:hint="eastAsia"/>
      </w:rPr>
    </w:lvl>
    <w:lvl w:ilvl="1">
      <w:start w:val="1"/>
      <w:numFmt w:val="decimal"/>
      <w:isLgl w:val="false"/>
      <w:suff w:val="tab"/>
      <w:lvlText w:val="%1.%2"/>
      <w:lvlJc w:val="left"/>
      <w:pPr>
        <w:pStyle w:val="11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36"/>
        <w:ind w:left="1980" w:hanging="900"/>
        <w:tabs>
          <w:tab w:val="num" w:pos="1980" w:leader="none"/>
        </w:tabs>
      </w:pPr>
      <w:rPr>
        <w:rFonts w:hint="eastAsia"/>
      </w:rPr>
    </w:lvl>
    <w:lvl w:ilvl="3">
      <w:start w:val="1"/>
      <w:numFmt w:val="decimal"/>
      <w:isLgl w:val="false"/>
      <w:suff w:val="tab"/>
      <w:lvlText w:val="%1.%2.%3.%4"/>
      <w:lvlJc w:val="left"/>
      <w:pPr>
        <w:pStyle w:val="1136"/>
        <w:ind w:left="900" w:hanging="900"/>
        <w:tabs>
          <w:tab w:val="num" w:pos="900" w:leader="none"/>
        </w:tabs>
      </w:pPr>
      <w:rPr>
        <w:rFonts w:hint="eastAsia"/>
      </w:rPr>
    </w:lvl>
    <w:lvl w:ilvl="4">
      <w:start w:val="1"/>
      <w:numFmt w:val="decimal"/>
      <w:isLgl w:val="false"/>
      <w:suff w:val="tab"/>
      <w:lvlText w:val="%1.%2.%3.%4.%5"/>
      <w:lvlJc w:val="left"/>
      <w:pPr>
        <w:pStyle w:val="1136"/>
        <w:ind w:left="900" w:hanging="900"/>
        <w:tabs>
          <w:tab w:val="num" w:pos="900" w:leader="none"/>
        </w:tabs>
      </w:pPr>
      <w:rPr>
        <w:rFonts w:hint="eastAsia"/>
      </w:rPr>
    </w:lvl>
    <w:lvl w:ilvl="5">
      <w:start w:val="1"/>
      <w:numFmt w:val="decimal"/>
      <w:isLgl w:val="false"/>
      <w:suff w:val="tab"/>
      <w:lvlText w:val="%1.%2.%3.%4.%5.%6"/>
      <w:lvlJc w:val="left"/>
      <w:pPr>
        <w:pStyle w:val="1136"/>
        <w:ind w:left="900" w:hanging="900"/>
        <w:tabs>
          <w:tab w:val="num" w:pos="900" w:leader="none"/>
        </w:tabs>
      </w:pPr>
      <w:rPr>
        <w:rFonts w:hint="eastAsia"/>
      </w:rPr>
    </w:lvl>
    <w:lvl w:ilvl="6">
      <w:start w:val="1"/>
      <w:numFmt w:val="decimal"/>
      <w:isLgl w:val="false"/>
      <w:suff w:val="tab"/>
      <w:lvlText w:val="%1.%2.%3.%4.%5.%6.%7"/>
      <w:lvlJc w:val="left"/>
      <w:pPr>
        <w:pStyle w:val="1136"/>
        <w:ind w:left="900" w:hanging="900"/>
        <w:tabs>
          <w:tab w:val="num" w:pos="900" w:leader="none"/>
        </w:tabs>
      </w:pPr>
      <w:rPr>
        <w:rFonts w:hint="eastAsia"/>
      </w:rPr>
    </w:lvl>
    <w:lvl w:ilvl="7">
      <w:start w:val="1"/>
      <w:numFmt w:val="decimal"/>
      <w:isLgl w:val="false"/>
      <w:suff w:val="tab"/>
      <w:lvlText w:val="%1.%2.%3.%4.%5.%6.%7.%8"/>
      <w:lvlJc w:val="left"/>
      <w:pPr>
        <w:pStyle w:val="1136"/>
        <w:ind w:left="900" w:hanging="900"/>
        <w:tabs>
          <w:tab w:val="num" w:pos="900" w:leader="none"/>
        </w:tabs>
      </w:pPr>
      <w:rPr>
        <w:rFonts w:hint="eastAsia"/>
      </w:rPr>
    </w:lvl>
    <w:lvl w:ilvl="8">
      <w:start w:val="1"/>
      <w:numFmt w:val="decimal"/>
      <w:isLgl w:val="false"/>
      <w:suff w:val="tab"/>
      <w:lvlText w:val="%1.%2.%3.%4.%5.%6.%7.%8.%9"/>
      <w:lvlJc w:val="left"/>
      <w:pPr>
        <w:pStyle w:val="1136"/>
        <w:ind w:left="900" w:hanging="900"/>
        <w:tabs>
          <w:tab w:val="num" w:pos="900" w:leader="none"/>
        </w:tabs>
      </w:pPr>
      <w:rPr>
        <w:rFonts w:hint="eastAsia"/>
      </w:rPr>
    </w:lvl>
  </w:abstractNum>
  <w:abstractNum w:abstractNumId="18">
    <w:multiLevelType w:val="hybridMultilevel"/>
    <w:lvl w:ilvl="0">
      <w:start w:val="9"/>
      <w:numFmt w:val="decimal"/>
      <w:isLgl w:val="false"/>
      <w:suff w:val="tab"/>
      <w:lvlText w:val="%1."/>
      <w:lvlJc w:val="left"/>
      <w:pPr>
        <w:pStyle w:val="11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chineseCounting"/>
      <w:isLgl w:val="false"/>
      <w:suff w:val="nothing"/>
      <w:lvlText w:val="%1、"/>
      <w:lvlJc w:val="left"/>
      <w:pPr>
        <w:pStyle w:val="11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1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11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1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4"/>
  </w:num>
  <w:num w:numId="4">
    <w:abstractNumId w:val="12"/>
  </w:num>
  <w:num w:numId="5">
    <w:abstractNumId w:val="10"/>
  </w:num>
  <w:num w:numId="6">
    <w:abstractNumId w:val="9"/>
  </w:num>
  <w:num w:numId="7">
    <w:abstractNumId w:val="15"/>
  </w:num>
  <w:num w:numId="8">
    <w:abstractNumId w:val="13"/>
  </w:num>
  <w:num w:numId="9">
    <w:abstractNumId w:val="17"/>
  </w:num>
  <w:num w:numId="10">
    <w:abstractNumId w:val="7"/>
  </w:num>
  <w:num w:numId="11">
    <w:abstractNumId w:val="16"/>
  </w:num>
  <w:num w:numId="12">
    <w:abstractNumId w:val="19"/>
  </w:num>
  <w:num w:numId="13">
    <w:abstractNumId w:val="2"/>
  </w:num>
  <w:num w:numId="14">
    <w:abstractNumId w:val="18"/>
  </w:num>
  <w:num w:numId="15">
    <w:abstractNumId w:val="3"/>
  </w:num>
  <w:num w:numId="16">
    <w:abstractNumId w:val="0"/>
  </w:num>
  <w:num w:numId="17">
    <w:abstractNumId w:val="21"/>
  </w:num>
  <w:num w:numId="18">
    <w:abstractNumId w:val="22"/>
  </w:num>
  <w:num w:numId="19">
    <w:abstractNumId w:val="4"/>
  </w:num>
  <w:num w:numId="20">
    <w:abstractNumId w:val="1"/>
  </w:num>
  <w:num w:numId="21">
    <w:abstractNumId w:val="6"/>
  </w:num>
  <w:num w:numId="22">
    <w:abstractNumId w:val="2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8">
    <w:name w:val="Heading 1"/>
    <w:basedOn w:val="1136"/>
    <w:next w:val="1136"/>
    <w:link w:val="959"/>
    <w:uiPriority w:val="9"/>
    <w:qFormat/>
    <w:pPr>
      <w:keepLines/>
      <w:keepNext/>
      <w:spacing w:before="480" w:after="200"/>
      <w:outlineLvl w:val="0"/>
    </w:pPr>
    <w:rPr>
      <w:rFonts w:ascii="Arial" w:hAnsi="Arial" w:eastAsia="Arial" w:cs="Arial"/>
      <w:sz w:val="40"/>
      <w:szCs w:val="40"/>
    </w:rPr>
  </w:style>
  <w:style w:type="character" w:styleId="959">
    <w:name w:val="Heading 1 Char"/>
    <w:link w:val="958"/>
    <w:uiPriority w:val="9"/>
    <w:rPr>
      <w:rFonts w:ascii="Arial" w:hAnsi="Arial" w:eastAsia="Arial" w:cs="Arial"/>
      <w:sz w:val="40"/>
      <w:szCs w:val="40"/>
    </w:rPr>
  </w:style>
  <w:style w:type="paragraph" w:styleId="960">
    <w:name w:val="Heading 2"/>
    <w:basedOn w:val="1136"/>
    <w:next w:val="1136"/>
    <w:link w:val="961"/>
    <w:uiPriority w:val="9"/>
    <w:unhideWhenUsed/>
    <w:qFormat/>
    <w:pPr>
      <w:keepLines/>
      <w:keepNext/>
      <w:spacing w:before="360" w:after="200"/>
      <w:outlineLvl w:val="1"/>
    </w:pPr>
    <w:rPr>
      <w:rFonts w:ascii="Arial" w:hAnsi="Arial" w:eastAsia="Arial" w:cs="Arial"/>
      <w:sz w:val="34"/>
    </w:rPr>
  </w:style>
  <w:style w:type="character" w:styleId="961">
    <w:name w:val="Heading 2 Char"/>
    <w:link w:val="960"/>
    <w:uiPriority w:val="9"/>
    <w:rPr>
      <w:rFonts w:ascii="Arial" w:hAnsi="Arial" w:eastAsia="Arial" w:cs="Arial"/>
      <w:sz w:val="34"/>
    </w:rPr>
  </w:style>
  <w:style w:type="paragraph" w:styleId="962">
    <w:name w:val="Heading 3"/>
    <w:basedOn w:val="1136"/>
    <w:next w:val="1136"/>
    <w:link w:val="963"/>
    <w:uiPriority w:val="9"/>
    <w:unhideWhenUsed/>
    <w:qFormat/>
    <w:pPr>
      <w:keepLines/>
      <w:keepNext/>
      <w:spacing w:before="320" w:after="200"/>
      <w:outlineLvl w:val="2"/>
    </w:pPr>
    <w:rPr>
      <w:rFonts w:ascii="Arial" w:hAnsi="Arial" w:eastAsia="Arial" w:cs="Arial"/>
      <w:sz w:val="30"/>
      <w:szCs w:val="30"/>
    </w:rPr>
  </w:style>
  <w:style w:type="character" w:styleId="963">
    <w:name w:val="Heading 3 Char"/>
    <w:link w:val="962"/>
    <w:uiPriority w:val="9"/>
    <w:rPr>
      <w:rFonts w:ascii="Arial" w:hAnsi="Arial" w:eastAsia="Arial" w:cs="Arial"/>
      <w:sz w:val="30"/>
      <w:szCs w:val="30"/>
    </w:rPr>
  </w:style>
  <w:style w:type="paragraph" w:styleId="964">
    <w:name w:val="Heading 4"/>
    <w:basedOn w:val="1136"/>
    <w:next w:val="1136"/>
    <w:link w:val="965"/>
    <w:uiPriority w:val="9"/>
    <w:unhideWhenUsed/>
    <w:qFormat/>
    <w:pPr>
      <w:keepLines/>
      <w:keepNext/>
      <w:spacing w:before="320" w:after="200"/>
      <w:outlineLvl w:val="3"/>
    </w:pPr>
    <w:rPr>
      <w:rFonts w:ascii="Arial" w:hAnsi="Arial" w:eastAsia="Arial" w:cs="Arial"/>
      <w:b/>
      <w:bCs/>
      <w:sz w:val="26"/>
      <w:szCs w:val="26"/>
    </w:rPr>
  </w:style>
  <w:style w:type="character" w:styleId="965">
    <w:name w:val="Heading 4 Char"/>
    <w:link w:val="964"/>
    <w:uiPriority w:val="9"/>
    <w:rPr>
      <w:rFonts w:ascii="Arial" w:hAnsi="Arial" w:eastAsia="Arial" w:cs="Arial"/>
      <w:b/>
      <w:bCs/>
      <w:sz w:val="26"/>
      <w:szCs w:val="26"/>
    </w:rPr>
  </w:style>
  <w:style w:type="paragraph" w:styleId="966">
    <w:name w:val="Heading 5"/>
    <w:basedOn w:val="1136"/>
    <w:next w:val="1136"/>
    <w:link w:val="967"/>
    <w:uiPriority w:val="9"/>
    <w:unhideWhenUsed/>
    <w:qFormat/>
    <w:pPr>
      <w:keepLines/>
      <w:keepNext/>
      <w:spacing w:before="320" w:after="200"/>
      <w:outlineLvl w:val="4"/>
    </w:pPr>
    <w:rPr>
      <w:rFonts w:ascii="Arial" w:hAnsi="Arial" w:eastAsia="Arial" w:cs="Arial"/>
      <w:b/>
      <w:bCs/>
      <w:sz w:val="24"/>
      <w:szCs w:val="24"/>
    </w:rPr>
  </w:style>
  <w:style w:type="character" w:styleId="967">
    <w:name w:val="Heading 5 Char"/>
    <w:link w:val="966"/>
    <w:uiPriority w:val="9"/>
    <w:rPr>
      <w:rFonts w:ascii="Arial" w:hAnsi="Arial" w:eastAsia="Arial" w:cs="Arial"/>
      <w:b/>
      <w:bCs/>
      <w:sz w:val="24"/>
      <w:szCs w:val="24"/>
    </w:rPr>
  </w:style>
  <w:style w:type="paragraph" w:styleId="968">
    <w:name w:val="Heading 6"/>
    <w:basedOn w:val="1136"/>
    <w:next w:val="1136"/>
    <w:link w:val="969"/>
    <w:uiPriority w:val="9"/>
    <w:unhideWhenUsed/>
    <w:qFormat/>
    <w:pPr>
      <w:keepLines/>
      <w:keepNext/>
      <w:spacing w:before="320" w:after="200"/>
      <w:outlineLvl w:val="5"/>
    </w:pPr>
    <w:rPr>
      <w:rFonts w:ascii="Arial" w:hAnsi="Arial" w:eastAsia="Arial" w:cs="Arial"/>
      <w:b/>
      <w:bCs/>
      <w:sz w:val="22"/>
      <w:szCs w:val="22"/>
    </w:rPr>
  </w:style>
  <w:style w:type="character" w:styleId="969">
    <w:name w:val="Heading 6 Char"/>
    <w:link w:val="968"/>
    <w:uiPriority w:val="9"/>
    <w:rPr>
      <w:rFonts w:ascii="Arial" w:hAnsi="Arial" w:eastAsia="Arial" w:cs="Arial"/>
      <w:b/>
      <w:bCs/>
      <w:sz w:val="22"/>
      <w:szCs w:val="22"/>
    </w:rPr>
  </w:style>
  <w:style w:type="paragraph" w:styleId="970">
    <w:name w:val="Heading 7"/>
    <w:basedOn w:val="1136"/>
    <w:next w:val="1136"/>
    <w:link w:val="971"/>
    <w:uiPriority w:val="9"/>
    <w:unhideWhenUsed/>
    <w:qFormat/>
    <w:pPr>
      <w:keepLines/>
      <w:keepNext/>
      <w:spacing w:before="320" w:after="200"/>
      <w:outlineLvl w:val="6"/>
    </w:pPr>
    <w:rPr>
      <w:rFonts w:ascii="Arial" w:hAnsi="Arial" w:eastAsia="Arial" w:cs="Arial"/>
      <w:b/>
      <w:bCs/>
      <w:i/>
      <w:iCs/>
      <w:sz w:val="22"/>
      <w:szCs w:val="22"/>
    </w:rPr>
  </w:style>
  <w:style w:type="character" w:styleId="971">
    <w:name w:val="Heading 7 Char"/>
    <w:link w:val="970"/>
    <w:uiPriority w:val="9"/>
    <w:rPr>
      <w:rFonts w:ascii="Arial" w:hAnsi="Arial" w:eastAsia="Arial" w:cs="Arial"/>
      <w:b/>
      <w:bCs/>
      <w:i/>
      <w:iCs/>
      <w:sz w:val="22"/>
      <w:szCs w:val="22"/>
    </w:rPr>
  </w:style>
  <w:style w:type="paragraph" w:styleId="972">
    <w:name w:val="Heading 8"/>
    <w:basedOn w:val="1136"/>
    <w:next w:val="1136"/>
    <w:link w:val="973"/>
    <w:uiPriority w:val="9"/>
    <w:unhideWhenUsed/>
    <w:qFormat/>
    <w:pPr>
      <w:keepLines/>
      <w:keepNext/>
      <w:spacing w:before="320" w:after="200"/>
      <w:outlineLvl w:val="7"/>
    </w:pPr>
    <w:rPr>
      <w:rFonts w:ascii="Arial" w:hAnsi="Arial" w:eastAsia="Arial" w:cs="Arial"/>
      <w:i/>
      <w:iCs/>
      <w:sz w:val="22"/>
      <w:szCs w:val="22"/>
    </w:rPr>
  </w:style>
  <w:style w:type="character" w:styleId="973">
    <w:name w:val="Heading 8 Char"/>
    <w:link w:val="972"/>
    <w:uiPriority w:val="9"/>
    <w:rPr>
      <w:rFonts w:ascii="Arial" w:hAnsi="Arial" w:eastAsia="Arial" w:cs="Arial"/>
      <w:i/>
      <w:iCs/>
      <w:sz w:val="22"/>
      <w:szCs w:val="22"/>
    </w:rPr>
  </w:style>
  <w:style w:type="paragraph" w:styleId="974">
    <w:name w:val="Heading 9"/>
    <w:basedOn w:val="1136"/>
    <w:next w:val="1136"/>
    <w:link w:val="975"/>
    <w:uiPriority w:val="9"/>
    <w:unhideWhenUsed/>
    <w:qFormat/>
    <w:pPr>
      <w:keepLines/>
      <w:keepNext/>
      <w:spacing w:before="320" w:after="200"/>
      <w:outlineLvl w:val="8"/>
    </w:pPr>
    <w:rPr>
      <w:rFonts w:ascii="Arial" w:hAnsi="Arial" w:eastAsia="Arial" w:cs="Arial"/>
      <w:i/>
      <w:iCs/>
      <w:sz w:val="21"/>
      <w:szCs w:val="21"/>
    </w:rPr>
  </w:style>
  <w:style w:type="character" w:styleId="975">
    <w:name w:val="Heading 9 Char"/>
    <w:link w:val="974"/>
    <w:uiPriority w:val="9"/>
    <w:rPr>
      <w:rFonts w:ascii="Arial" w:hAnsi="Arial" w:eastAsia="Arial" w:cs="Arial"/>
      <w:i/>
      <w:iCs/>
      <w:sz w:val="21"/>
      <w:szCs w:val="21"/>
    </w:rPr>
  </w:style>
  <w:style w:type="paragraph" w:styleId="976">
    <w:name w:val="List Paragraph"/>
    <w:basedOn w:val="1136"/>
    <w:uiPriority w:val="34"/>
    <w:qFormat/>
    <w:pPr>
      <w:contextualSpacing/>
      <w:ind w:left="720"/>
    </w:pPr>
  </w:style>
  <w:style w:type="paragraph" w:styleId="977">
    <w:name w:val="No Spacing"/>
    <w:uiPriority w:val="1"/>
    <w:qFormat/>
    <w:pPr>
      <w:spacing w:before="0" w:after="0" w:line="240" w:lineRule="auto"/>
    </w:pPr>
  </w:style>
  <w:style w:type="paragraph" w:styleId="978">
    <w:name w:val="Title"/>
    <w:basedOn w:val="1136"/>
    <w:next w:val="1136"/>
    <w:link w:val="979"/>
    <w:uiPriority w:val="10"/>
    <w:qFormat/>
    <w:pPr>
      <w:contextualSpacing/>
      <w:spacing w:before="300" w:after="200"/>
    </w:pPr>
    <w:rPr>
      <w:sz w:val="48"/>
      <w:szCs w:val="48"/>
    </w:rPr>
  </w:style>
  <w:style w:type="character" w:styleId="979">
    <w:name w:val="Title Char"/>
    <w:link w:val="978"/>
    <w:uiPriority w:val="10"/>
    <w:rPr>
      <w:sz w:val="48"/>
      <w:szCs w:val="48"/>
    </w:rPr>
  </w:style>
  <w:style w:type="paragraph" w:styleId="980">
    <w:name w:val="Subtitle"/>
    <w:basedOn w:val="1136"/>
    <w:next w:val="1136"/>
    <w:link w:val="981"/>
    <w:uiPriority w:val="11"/>
    <w:qFormat/>
    <w:pPr>
      <w:spacing w:before="200" w:after="200"/>
    </w:pPr>
    <w:rPr>
      <w:sz w:val="24"/>
      <w:szCs w:val="24"/>
    </w:rPr>
  </w:style>
  <w:style w:type="character" w:styleId="981">
    <w:name w:val="Subtitle Char"/>
    <w:link w:val="980"/>
    <w:uiPriority w:val="11"/>
    <w:rPr>
      <w:sz w:val="24"/>
      <w:szCs w:val="24"/>
    </w:rPr>
  </w:style>
  <w:style w:type="paragraph" w:styleId="982">
    <w:name w:val="Quote"/>
    <w:basedOn w:val="1136"/>
    <w:next w:val="1136"/>
    <w:link w:val="983"/>
    <w:uiPriority w:val="29"/>
    <w:qFormat/>
    <w:pPr>
      <w:ind w:left="720" w:right="720"/>
    </w:pPr>
    <w:rPr>
      <w:i/>
    </w:rPr>
  </w:style>
  <w:style w:type="character" w:styleId="983">
    <w:name w:val="Quote Char"/>
    <w:link w:val="982"/>
    <w:uiPriority w:val="29"/>
    <w:rPr>
      <w:i/>
    </w:rPr>
  </w:style>
  <w:style w:type="paragraph" w:styleId="984">
    <w:name w:val="Intense Quote"/>
    <w:basedOn w:val="1136"/>
    <w:next w:val="1136"/>
    <w:link w:val="9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name w:val="Intense Quote Char"/>
    <w:link w:val="984"/>
    <w:uiPriority w:val="30"/>
    <w:rPr>
      <w:i/>
    </w:rPr>
  </w:style>
  <w:style w:type="paragraph" w:styleId="986">
    <w:name w:val="Header"/>
    <w:basedOn w:val="1136"/>
    <w:link w:val="987"/>
    <w:uiPriority w:val="99"/>
    <w:unhideWhenUsed/>
    <w:pPr>
      <w:spacing w:after="0" w:line="240" w:lineRule="auto"/>
      <w:tabs>
        <w:tab w:val="center" w:pos="7143" w:leader="none"/>
        <w:tab w:val="right" w:pos="14287" w:leader="none"/>
      </w:tabs>
    </w:pPr>
  </w:style>
  <w:style w:type="character" w:styleId="987">
    <w:name w:val="Header Char"/>
    <w:link w:val="986"/>
    <w:uiPriority w:val="99"/>
  </w:style>
  <w:style w:type="paragraph" w:styleId="988">
    <w:name w:val="Footer"/>
    <w:basedOn w:val="1136"/>
    <w:link w:val="991"/>
    <w:uiPriority w:val="99"/>
    <w:unhideWhenUsed/>
    <w:pPr>
      <w:spacing w:after="0" w:line="240" w:lineRule="auto"/>
      <w:tabs>
        <w:tab w:val="center" w:pos="7143" w:leader="none"/>
        <w:tab w:val="right" w:pos="14287" w:leader="none"/>
      </w:tabs>
    </w:pPr>
  </w:style>
  <w:style w:type="character" w:styleId="989">
    <w:name w:val="Footer Char"/>
    <w:link w:val="988"/>
    <w:uiPriority w:val="99"/>
  </w:style>
  <w:style w:type="paragraph" w:styleId="990">
    <w:name w:val="Caption"/>
    <w:basedOn w:val="1136"/>
    <w:next w:val="1136"/>
    <w:uiPriority w:val="35"/>
    <w:semiHidden/>
    <w:unhideWhenUsed/>
    <w:qFormat/>
    <w:pPr>
      <w:spacing w:line="276" w:lineRule="auto"/>
    </w:pPr>
    <w:rPr>
      <w:b/>
      <w:bCs/>
      <w:color w:val="4f81bd" w:themeColor="accent1"/>
      <w:sz w:val="18"/>
      <w:szCs w:val="18"/>
    </w:rPr>
  </w:style>
  <w:style w:type="character" w:styleId="991">
    <w:name w:val="Caption Char"/>
    <w:basedOn w:val="990"/>
    <w:link w:val="988"/>
    <w:uiPriority w:val="99"/>
  </w:style>
  <w:style w:type="table" w:styleId="9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8">
    <w:name w:val="Hyperlink"/>
    <w:uiPriority w:val="99"/>
    <w:unhideWhenUsed/>
    <w:rPr>
      <w:color w:val="0000ff" w:themeColor="hyperlink"/>
      <w:u w:val="single"/>
    </w:rPr>
  </w:style>
  <w:style w:type="paragraph" w:styleId="1119">
    <w:name w:val="footnote text"/>
    <w:basedOn w:val="1136"/>
    <w:link w:val="1120"/>
    <w:uiPriority w:val="99"/>
    <w:semiHidden/>
    <w:unhideWhenUsed/>
    <w:pPr>
      <w:spacing w:after="40" w:line="240" w:lineRule="auto"/>
    </w:pPr>
    <w:rPr>
      <w:sz w:val="18"/>
    </w:rPr>
  </w:style>
  <w:style w:type="character" w:styleId="1120">
    <w:name w:val="Footnote Text Char"/>
    <w:link w:val="1119"/>
    <w:uiPriority w:val="99"/>
    <w:rPr>
      <w:sz w:val="18"/>
    </w:rPr>
  </w:style>
  <w:style w:type="character" w:styleId="1121">
    <w:name w:val="footnote reference"/>
    <w:uiPriority w:val="99"/>
    <w:unhideWhenUsed/>
    <w:rPr>
      <w:vertAlign w:val="superscript"/>
    </w:rPr>
  </w:style>
  <w:style w:type="paragraph" w:styleId="1122">
    <w:name w:val="endnote text"/>
    <w:basedOn w:val="1136"/>
    <w:link w:val="1123"/>
    <w:uiPriority w:val="99"/>
    <w:semiHidden/>
    <w:unhideWhenUsed/>
    <w:pPr>
      <w:spacing w:after="0" w:line="240" w:lineRule="auto"/>
    </w:pPr>
    <w:rPr>
      <w:sz w:val="20"/>
    </w:rPr>
  </w:style>
  <w:style w:type="character" w:styleId="1123">
    <w:name w:val="Endnote Text Char"/>
    <w:link w:val="1122"/>
    <w:uiPriority w:val="99"/>
    <w:rPr>
      <w:sz w:val="20"/>
    </w:rPr>
  </w:style>
  <w:style w:type="character" w:styleId="1124">
    <w:name w:val="endnote reference"/>
    <w:uiPriority w:val="99"/>
    <w:semiHidden/>
    <w:unhideWhenUsed/>
    <w:rPr>
      <w:vertAlign w:val="superscript"/>
    </w:rPr>
  </w:style>
  <w:style w:type="paragraph" w:styleId="1125">
    <w:name w:val="toc 1"/>
    <w:basedOn w:val="1136"/>
    <w:next w:val="1136"/>
    <w:uiPriority w:val="39"/>
    <w:unhideWhenUsed/>
    <w:pPr>
      <w:ind w:left="0" w:right="0" w:firstLine="0"/>
      <w:spacing w:after="57"/>
    </w:pPr>
  </w:style>
  <w:style w:type="paragraph" w:styleId="1126">
    <w:name w:val="toc 2"/>
    <w:basedOn w:val="1136"/>
    <w:next w:val="1136"/>
    <w:uiPriority w:val="39"/>
    <w:unhideWhenUsed/>
    <w:pPr>
      <w:ind w:left="283" w:right="0" w:firstLine="0"/>
      <w:spacing w:after="57"/>
    </w:pPr>
  </w:style>
  <w:style w:type="paragraph" w:styleId="1127">
    <w:name w:val="toc 3"/>
    <w:basedOn w:val="1136"/>
    <w:next w:val="1136"/>
    <w:uiPriority w:val="39"/>
    <w:unhideWhenUsed/>
    <w:pPr>
      <w:ind w:left="567" w:right="0" w:firstLine="0"/>
      <w:spacing w:after="57"/>
    </w:pPr>
  </w:style>
  <w:style w:type="paragraph" w:styleId="1128">
    <w:name w:val="toc 4"/>
    <w:basedOn w:val="1136"/>
    <w:next w:val="1136"/>
    <w:uiPriority w:val="39"/>
    <w:unhideWhenUsed/>
    <w:pPr>
      <w:ind w:left="850" w:right="0" w:firstLine="0"/>
      <w:spacing w:after="57"/>
    </w:pPr>
  </w:style>
  <w:style w:type="paragraph" w:styleId="1129">
    <w:name w:val="toc 5"/>
    <w:basedOn w:val="1136"/>
    <w:next w:val="1136"/>
    <w:uiPriority w:val="39"/>
    <w:unhideWhenUsed/>
    <w:pPr>
      <w:ind w:left="1134" w:right="0" w:firstLine="0"/>
      <w:spacing w:after="57"/>
    </w:pPr>
  </w:style>
  <w:style w:type="paragraph" w:styleId="1130">
    <w:name w:val="toc 6"/>
    <w:basedOn w:val="1136"/>
    <w:next w:val="1136"/>
    <w:uiPriority w:val="39"/>
    <w:unhideWhenUsed/>
    <w:pPr>
      <w:ind w:left="1417" w:right="0" w:firstLine="0"/>
      <w:spacing w:after="57"/>
    </w:pPr>
  </w:style>
  <w:style w:type="paragraph" w:styleId="1131">
    <w:name w:val="toc 7"/>
    <w:basedOn w:val="1136"/>
    <w:next w:val="1136"/>
    <w:uiPriority w:val="39"/>
    <w:unhideWhenUsed/>
    <w:pPr>
      <w:ind w:left="1701" w:right="0" w:firstLine="0"/>
      <w:spacing w:after="57"/>
    </w:pPr>
  </w:style>
  <w:style w:type="paragraph" w:styleId="1132">
    <w:name w:val="toc 8"/>
    <w:basedOn w:val="1136"/>
    <w:next w:val="1136"/>
    <w:uiPriority w:val="39"/>
    <w:unhideWhenUsed/>
    <w:pPr>
      <w:ind w:left="1984" w:right="0" w:firstLine="0"/>
      <w:spacing w:after="57"/>
    </w:pPr>
  </w:style>
  <w:style w:type="paragraph" w:styleId="1133">
    <w:name w:val="toc 9"/>
    <w:basedOn w:val="1136"/>
    <w:next w:val="1136"/>
    <w:uiPriority w:val="39"/>
    <w:unhideWhenUsed/>
    <w:pPr>
      <w:ind w:left="2268" w:right="0" w:firstLine="0"/>
      <w:spacing w:after="57"/>
    </w:pPr>
  </w:style>
  <w:style w:type="paragraph" w:styleId="1134">
    <w:name w:val="TOC Heading"/>
    <w:uiPriority w:val="39"/>
    <w:unhideWhenUsed/>
  </w:style>
  <w:style w:type="paragraph" w:styleId="1135">
    <w:name w:val="table of figures"/>
    <w:basedOn w:val="1136"/>
    <w:next w:val="1136"/>
    <w:uiPriority w:val="99"/>
    <w:unhideWhenUsed/>
    <w:pPr>
      <w:spacing w:after="0" w:afterAutospacing="0"/>
    </w:pPr>
  </w:style>
  <w:style w:type="paragraph" w:styleId="1136" w:default="1">
    <w:name w:val="Normal"/>
    <w:next w:val="1148"/>
    <w:link w:val="1136"/>
    <w:qFormat/>
    <w:pPr>
      <w:jc w:val="both"/>
      <w:widowControl w:val="off"/>
    </w:pPr>
    <w:rPr>
      <w:sz w:val="21"/>
      <w:szCs w:val="24"/>
      <w:lang w:val="en-US" w:eastAsia="zh-CN" w:bidi="ar-SA"/>
    </w:rPr>
  </w:style>
  <w:style w:type="paragraph" w:styleId="1137">
    <w:name w:val="标题 1"/>
    <w:basedOn w:val="1136"/>
    <w:next w:val="1136"/>
    <w:link w:val="1149"/>
    <w:qFormat/>
    <w:pPr>
      <w:jc w:val="center"/>
      <w:keepLines/>
      <w:keepNext/>
      <w:spacing w:before="240" w:after="120" w:line="300" w:lineRule="auto"/>
      <w:outlineLvl w:val="0"/>
    </w:pPr>
    <w:rPr>
      <w:rFonts w:ascii="宋体"/>
      <w:b/>
      <w:sz w:val="32"/>
      <w:szCs w:val="20"/>
    </w:rPr>
  </w:style>
  <w:style w:type="paragraph" w:styleId="1138">
    <w:name w:val="标题 2"/>
    <w:basedOn w:val="1136"/>
    <w:next w:val="1151"/>
    <w:link w:val="1150"/>
    <w:qFormat/>
    <w:pPr>
      <w:jc w:val="center"/>
      <w:keepLines/>
      <w:keepNext/>
      <w:spacing w:before="120" w:line="300" w:lineRule="auto"/>
      <w:outlineLvl w:val="1"/>
    </w:pPr>
    <w:rPr>
      <w:rFonts w:ascii="Arial" w:hAnsi="Arial" w:eastAsia="黑体"/>
      <w:b/>
      <w:sz w:val="30"/>
      <w:szCs w:val="20"/>
    </w:rPr>
  </w:style>
  <w:style w:type="paragraph" w:styleId="1139">
    <w:name w:val="标题 3"/>
    <w:basedOn w:val="1136"/>
    <w:next w:val="1136"/>
    <w:link w:val="1153"/>
    <w:qFormat/>
    <w:pPr>
      <w:jc w:val="left"/>
      <w:keepLines/>
      <w:keepNext/>
      <w:spacing w:before="360" w:after="120"/>
      <w:outlineLvl w:val="2"/>
    </w:pPr>
    <w:rPr>
      <w:rFonts w:ascii="宋体"/>
      <w:b/>
      <w:sz w:val="24"/>
      <w:szCs w:val="20"/>
      <w:u w:val="single"/>
    </w:rPr>
  </w:style>
  <w:style w:type="paragraph" w:styleId="1140">
    <w:name w:val="标题 4"/>
    <w:basedOn w:val="1136"/>
    <w:next w:val="1136"/>
    <w:link w:val="1154"/>
    <w:qFormat/>
    <w:pPr>
      <w:keepLines/>
      <w:keepNext/>
      <w:spacing w:before="280" w:after="290" w:line="376" w:lineRule="atLeast"/>
      <w:outlineLvl w:val="3"/>
    </w:pPr>
    <w:rPr>
      <w:rFonts w:ascii="Arial" w:hAnsi="Arial" w:eastAsia="黑体"/>
      <w:b/>
      <w:sz w:val="28"/>
      <w:szCs w:val="20"/>
    </w:rPr>
  </w:style>
  <w:style w:type="paragraph" w:styleId="1141">
    <w:name w:val="标题 5"/>
    <w:basedOn w:val="1136"/>
    <w:next w:val="1136"/>
    <w:link w:val="1155"/>
    <w:qFormat/>
    <w:pPr>
      <w:keepLines/>
      <w:keepNext/>
      <w:spacing w:before="280" w:after="290" w:line="376" w:lineRule="atLeast"/>
      <w:outlineLvl w:val="4"/>
    </w:pPr>
    <w:rPr>
      <w:b/>
      <w:sz w:val="28"/>
      <w:szCs w:val="20"/>
    </w:rPr>
  </w:style>
  <w:style w:type="paragraph" w:styleId="1142">
    <w:name w:val="标题 6"/>
    <w:basedOn w:val="1136"/>
    <w:next w:val="1136"/>
    <w:link w:val="1156"/>
    <w:qFormat/>
    <w:pPr>
      <w:keepLines/>
      <w:keepNext/>
      <w:spacing w:before="240" w:after="64" w:line="320" w:lineRule="atLeast"/>
      <w:outlineLvl w:val="5"/>
    </w:pPr>
    <w:rPr>
      <w:rFonts w:ascii="Arial" w:hAnsi="Arial" w:eastAsia="黑体"/>
      <w:b/>
      <w:sz w:val="24"/>
      <w:szCs w:val="20"/>
    </w:rPr>
  </w:style>
  <w:style w:type="paragraph" w:styleId="1143">
    <w:name w:val="标题 7"/>
    <w:basedOn w:val="1136"/>
    <w:next w:val="1136"/>
    <w:link w:val="1157"/>
    <w:qFormat/>
    <w:pPr>
      <w:keepLines/>
      <w:keepNext/>
      <w:spacing w:before="240" w:after="64" w:line="320" w:lineRule="atLeast"/>
      <w:outlineLvl w:val="6"/>
    </w:pPr>
    <w:rPr>
      <w:b/>
      <w:sz w:val="24"/>
      <w:szCs w:val="20"/>
    </w:rPr>
  </w:style>
  <w:style w:type="paragraph" w:styleId="1144">
    <w:name w:val="标题 8"/>
    <w:basedOn w:val="1136"/>
    <w:next w:val="1136"/>
    <w:link w:val="1158"/>
    <w:qFormat/>
    <w:pPr>
      <w:keepLines/>
      <w:keepNext/>
      <w:spacing w:before="240" w:after="64" w:line="320" w:lineRule="atLeast"/>
      <w:outlineLvl w:val="7"/>
    </w:pPr>
    <w:rPr>
      <w:rFonts w:ascii="Arial" w:hAnsi="Arial" w:eastAsia="黑体"/>
      <w:sz w:val="24"/>
      <w:szCs w:val="20"/>
    </w:rPr>
  </w:style>
  <w:style w:type="paragraph" w:styleId="1145">
    <w:name w:val="标题 9"/>
    <w:basedOn w:val="1136"/>
    <w:next w:val="1136"/>
    <w:link w:val="1159"/>
    <w:qFormat/>
    <w:pPr>
      <w:keepLines/>
      <w:keepNext/>
      <w:spacing w:before="240" w:after="64" w:line="320" w:lineRule="atLeast"/>
      <w:outlineLvl w:val="8"/>
    </w:pPr>
    <w:rPr>
      <w:rFonts w:ascii="Arial" w:hAnsi="Arial" w:eastAsia="黑体"/>
      <w:szCs w:val="20"/>
    </w:rPr>
  </w:style>
  <w:style w:type="character" w:styleId="1146">
    <w:name w:val="默认段落字体"/>
    <w:next w:val="1146"/>
    <w:link w:val="1136"/>
    <w:uiPriority w:val="1"/>
    <w:unhideWhenUsed/>
    <w:qFormat/>
  </w:style>
  <w:style w:type="table" w:styleId="1147">
    <w:name w:val="普通表格"/>
    <w:next w:val="1147"/>
    <w:link w:val="1136"/>
    <w:uiPriority w:val="99"/>
    <w:unhideWhenUsed/>
    <w:qFormat/>
    <w:tblPr/>
  </w:style>
  <w:style w:type="paragraph" w:styleId="1148">
    <w:name w:val="Default"/>
    <w:next w:val="1148"/>
    <w:link w:val="1136"/>
    <w:qFormat/>
    <w:pPr>
      <w:widowControl w:val="off"/>
    </w:pPr>
    <w:rPr>
      <w:rFonts w:ascii="Symbol" w:hAnsi="Symbol" w:cs="Symbol"/>
      <w:color w:val="000000"/>
      <w:sz w:val="24"/>
      <w:szCs w:val="24"/>
      <w:lang w:val="en-US" w:eastAsia="zh-CN" w:bidi="ar-SA"/>
    </w:rPr>
  </w:style>
  <w:style w:type="character" w:styleId="1149">
    <w:name w:val="标题 1 字符"/>
    <w:next w:val="1149"/>
    <w:link w:val="1137"/>
    <w:qFormat/>
    <w:rPr>
      <w:rFonts w:ascii="宋体"/>
      <w:b/>
      <w:sz w:val="32"/>
    </w:rPr>
  </w:style>
  <w:style w:type="character" w:styleId="1150">
    <w:name w:val="标题 2 字符"/>
    <w:next w:val="1150"/>
    <w:link w:val="1138"/>
    <w:qFormat/>
    <w:rPr>
      <w:rFonts w:ascii="Arial" w:hAnsi="Arial" w:eastAsia="黑体"/>
      <w:b/>
      <w:sz w:val="30"/>
      <w:lang w:val="en-US" w:eastAsia="zh-CN" w:bidi="ar-SA"/>
    </w:rPr>
  </w:style>
  <w:style w:type="paragraph" w:styleId="1151">
    <w:name w:val="正文缩进"/>
    <w:basedOn w:val="1136"/>
    <w:next w:val="1136"/>
    <w:link w:val="1152"/>
    <w:qFormat/>
    <w:pPr>
      <w:ind w:firstLine="420"/>
      <w:jc w:val="left"/>
    </w:pPr>
    <w:rPr>
      <w:rFonts w:ascii="宋体"/>
      <w:sz w:val="24"/>
    </w:rPr>
  </w:style>
  <w:style w:type="character" w:styleId="1152">
    <w:name w:val="正文缩进 字符"/>
    <w:next w:val="1152"/>
    <w:link w:val="1151"/>
    <w:qFormat/>
    <w:rPr>
      <w:rFonts w:ascii="宋体" w:eastAsia="宋体"/>
      <w:sz w:val="24"/>
      <w:szCs w:val="24"/>
      <w:lang w:val="en-US" w:eastAsia="zh-CN" w:bidi="ar-SA"/>
    </w:rPr>
  </w:style>
  <w:style w:type="character" w:styleId="1153">
    <w:name w:val="标题 3 字符"/>
    <w:next w:val="1153"/>
    <w:link w:val="1139"/>
    <w:qFormat/>
    <w:rPr>
      <w:rFonts w:ascii="宋体" w:eastAsia="宋体"/>
      <w:b/>
      <w:sz w:val="24"/>
      <w:u w:val="single"/>
      <w:lang w:val="en-US" w:eastAsia="zh-CN" w:bidi="ar-SA"/>
    </w:rPr>
  </w:style>
  <w:style w:type="character" w:styleId="1154">
    <w:name w:val="标题 4 字符"/>
    <w:next w:val="1154"/>
    <w:link w:val="1140"/>
    <w:qFormat/>
    <w:rPr>
      <w:rFonts w:ascii="Arial" w:hAnsi="Arial" w:eastAsia="黑体"/>
      <w:b/>
      <w:sz w:val="28"/>
    </w:rPr>
  </w:style>
  <w:style w:type="character" w:styleId="1155">
    <w:name w:val="标题 5 字符"/>
    <w:next w:val="1155"/>
    <w:link w:val="1141"/>
    <w:qFormat/>
    <w:rPr>
      <w:b/>
      <w:sz w:val="28"/>
    </w:rPr>
  </w:style>
  <w:style w:type="character" w:styleId="1156">
    <w:name w:val="标题 6 字符"/>
    <w:next w:val="1156"/>
    <w:link w:val="1142"/>
    <w:qFormat/>
    <w:rPr>
      <w:rFonts w:ascii="Arial" w:hAnsi="Arial" w:eastAsia="黑体"/>
      <w:b/>
      <w:sz w:val="24"/>
    </w:rPr>
  </w:style>
  <w:style w:type="character" w:styleId="1157">
    <w:name w:val="标题 7 字符"/>
    <w:next w:val="1157"/>
    <w:link w:val="1143"/>
    <w:qFormat/>
    <w:rPr>
      <w:b/>
      <w:sz w:val="24"/>
    </w:rPr>
  </w:style>
  <w:style w:type="character" w:styleId="1158">
    <w:name w:val="标题 8 字符"/>
    <w:next w:val="1158"/>
    <w:link w:val="1144"/>
    <w:qFormat/>
    <w:rPr>
      <w:rFonts w:ascii="Arial" w:hAnsi="Arial" w:eastAsia="黑体"/>
      <w:sz w:val="24"/>
    </w:rPr>
  </w:style>
  <w:style w:type="character" w:styleId="1159">
    <w:name w:val="标题 9 字符"/>
    <w:next w:val="1159"/>
    <w:link w:val="1145"/>
    <w:qFormat/>
    <w:rPr>
      <w:rFonts w:ascii="Arial" w:hAnsi="Arial" w:eastAsia="黑体"/>
      <w:sz w:val="21"/>
    </w:rPr>
  </w:style>
  <w:style w:type="paragraph" w:styleId="1160">
    <w:name w:val="目录 7"/>
    <w:basedOn w:val="1136"/>
    <w:next w:val="1136"/>
    <w:link w:val="1136"/>
    <w:qFormat/>
    <w:pPr>
      <w:ind w:left="2520"/>
    </w:pPr>
  </w:style>
  <w:style w:type="paragraph" w:styleId="1161">
    <w:name w:val="题注"/>
    <w:basedOn w:val="1136"/>
    <w:next w:val="1136"/>
    <w:link w:val="1136"/>
    <w:qFormat/>
    <w:pPr>
      <w:spacing w:line="480" w:lineRule="auto"/>
    </w:pPr>
    <w:rPr>
      <w:rFonts w:ascii="华文中宋" w:hAnsi="华文中宋" w:eastAsia="华文中宋"/>
      <w:sz w:val="36"/>
      <w:szCs w:val="20"/>
    </w:rPr>
  </w:style>
  <w:style w:type="paragraph" w:styleId="1162">
    <w:name w:val="文档结构图"/>
    <w:basedOn w:val="1136"/>
    <w:next w:val="1162"/>
    <w:link w:val="1163"/>
    <w:qFormat/>
    <w:pPr>
      <w:shd w:val="clear" w:color="auto" w:fill="000080"/>
    </w:pPr>
  </w:style>
  <w:style w:type="character" w:styleId="1163">
    <w:name w:val="文档结构图 字符"/>
    <w:next w:val="1163"/>
    <w:link w:val="1162"/>
    <w:qFormat/>
    <w:rPr>
      <w:sz w:val="21"/>
      <w:szCs w:val="24"/>
      <w:shd w:val="clear" w:color="auto" w:fill="000080"/>
    </w:rPr>
  </w:style>
  <w:style w:type="paragraph" w:styleId="1164">
    <w:name w:val="批注文字"/>
    <w:basedOn w:val="1136"/>
    <w:next w:val="1164"/>
    <w:link w:val="1165"/>
    <w:uiPriority w:val="99"/>
    <w:qFormat/>
    <w:pPr>
      <w:jc w:val="left"/>
    </w:pPr>
  </w:style>
  <w:style w:type="character" w:styleId="1165">
    <w:name w:val="批注文字 字符1"/>
    <w:next w:val="1165"/>
    <w:link w:val="1164"/>
    <w:uiPriority w:val="99"/>
    <w:qFormat/>
    <w:rPr>
      <w:sz w:val="21"/>
      <w:szCs w:val="24"/>
    </w:rPr>
  </w:style>
  <w:style w:type="paragraph" w:styleId="1166">
    <w:name w:val="正文文本 3"/>
    <w:basedOn w:val="1136"/>
    <w:next w:val="1166"/>
    <w:link w:val="1167"/>
    <w:qFormat/>
    <w:pPr>
      <w:spacing w:after="120"/>
    </w:pPr>
    <w:rPr>
      <w:sz w:val="16"/>
      <w:szCs w:val="16"/>
    </w:rPr>
  </w:style>
  <w:style w:type="character" w:styleId="1167">
    <w:name w:val="正文文本 3 字符"/>
    <w:next w:val="1167"/>
    <w:link w:val="1166"/>
    <w:qFormat/>
    <w:rPr>
      <w:sz w:val="16"/>
      <w:szCs w:val="16"/>
    </w:rPr>
  </w:style>
  <w:style w:type="paragraph" w:styleId="1168">
    <w:name w:val="正文文本"/>
    <w:basedOn w:val="1136"/>
    <w:next w:val="1136"/>
    <w:link w:val="1169"/>
    <w:qFormat/>
    <w:pPr>
      <w:spacing w:before="120" w:line="22" w:lineRule="atLeast"/>
      <w:tabs>
        <w:tab w:val="left" w:pos="567" w:leader="none"/>
      </w:tabs>
    </w:pPr>
    <w:rPr>
      <w:rFonts w:ascii="宋体" w:hAnsi="宋体"/>
      <w:sz w:val="24"/>
    </w:rPr>
  </w:style>
  <w:style w:type="character" w:styleId="1169">
    <w:name w:val="正文文本 字符"/>
    <w:next w:val="1169"/>
    <w:link w:val="1168"/>
    <w:qFormat/>
    <w:rPr>
      <w:rFonts w:ascii="宋体" w:hAnsi="宋体"/>
      <w:sz w:val="24"/>
      <w:szCs w:val="24"/>
    </w:rPr>
  </w:style>
  <w:style w:type="paragraph" w:styleId="1170">
    <w:name w:val="正文文本缩进"/>
    <w:basedOn w:val="1136"/>
    <w:next w:val="1136"/>
    <w:link w:val="1171"/>
    <w:qFormat/>
    <w:pPr>
      <w:ind w:firstLine="570"/>
      <w:spacing w:line="360" w:lineRule="auto"/>
    </w:pPr>
    <w:rPr>
      <w:sz w:val="24"/>
    </w:rPr>
  </w:style>
  <w:style w:type="character" w:styleId="1171">
    <w:name w:val="正文文本缩进 字符"/>
    <w:next w:val="1171"/>
    <w:link w:val="1170"/>
    <w:qFormat/>
    <w:rPr>
      <w:rFonts w:eastAsia="宋体"/>
      <w:sz w:val="24"/>
      <w:szCs w:val="24"/>
      <w:lang w:val="en-US" w:eastAsia="zh-CN" w:bidi="ar-SA"/>
    </w:rPr>
  </w:style>
  <w:style w:type="paragraph" w:styleId="1172">
    <w:name w:val="列表 2"/>
    <w:basedOn w:val="1136"/>
    <w:next w:val="1172"/>
    <w:link w:val="1136"/>
    <w:qFormat/>
    <w:pPr>
      <w:ind w:left="100" w:hanging="200"/>
    </w:pPr>
  </w:style>
  <w:style w:type="paragraph" w:styleId="1173">
    <w:name w:val="文本块"/>
    <w:basedOn w:val="1136"/>
    <w:next w:val="1173"/>
    <w:link w:val="1136"/>
    <w:qFormat/>
    <w:pPr>
      <w:ind w:left="480" w:right="-341" w:firstLine="513"/>
      <w:widowControl/>
    </w:pPr>
    <w:rPr>
      <w:sz w:val="24"/>
      <w:szCs w:val="20"/>
    </w:rPr>
  </w:style>
  <w:style w:type="paragraph" w:styleId="1174">
    <w:name w:val="目录 5"/>
    <w:basedOn w:val="1136"/>
    <w:next w:val="1136"/>
    <w:link w:val="1136"/>
    <w:qFormat/>
    <w:pPr>
      <w:ind w:left="1680"/>
    </w:pPr>
  </w:style>
  <w:style w:type="paragraph" w:styleId="1175">
    <w:name w:val="目录 3"/>
    <w:basedOn w:val="1136"/>
    <w:next w:val="1136"/>
    <w:link w:val="1136"/>
    <w:uiPriority w:val="39"/>
    <w:qFormat/>
    <w:pPr>
      <w:ind w:left="840"/>
    </w:pPr>
  </w:style>
  <w:style w:type="paragraph" w:styleId="1176">
    <w:name w:val="纯文本"/>
    <w:basedOn w:val="1136"/>
    <w:next w:val="1151"/>
    <w:link w:val="1177"/>
    <w:qFormat/>
    <w:rPr>
      <w:rFonts w:hint="eastAsia" w:ascii="宋体" w:hAnsi="Courier New"/>
      <w:szCs w:val="20"/>
    </w:rPr>
  </w:style>
  <w:style w:type="character" w:styleId="1177">
    <w:name w:val="纯文本 字符2"/>
    <w:next w:val="1177"/>
    <w:link w:val="1176"/>
    <w:qFormat/>
    <w:rPr>
      <w:rFonts w:hint="eastAsia" w:ascii="宋体" w:hAnsi="Courier New" w:eastAsia="宋体" w:cs="宋体"/>
      <w:sz w:val="21"/>
    </w:rPr>
  </w:style>
  <w:style w:type="paragraph" w:styleId="1178">
    <w:name w:val="目录 8"/>
    <w:basedOn w:val="1136"/>
    <w:next w:val="1136"/>
    <w:link w:val="1136"/>
    <w:qFormat/>
    <w:pPr>
      <w:ind w:left="2940"/>
    </w:pPr>
  </w:style>
  <w:style w:type="paragraph" w:styleId="1179">
    <w:name w:val="日期"/>
    <w:basedOn w:val="1136"/>
    <w:next w:val="1136"/>
    <w:link w:val="1180"/>
    <w:qFormat/>
    <w:pPr>
      <w:ind w:left="100"/>
    </w:pPr>
    <w:rPr>
      <w:rFonts w:ascii="仿宋_GB2312" w:hAnsi="宋体" w:eastAsia="仿宋_GB2312"/>
      <w:color w:val="000000"/>
      <w:sz w:val="24"/>
    </w:rPr>
  </w:style>
  <w:style w:type="character" w:styleId="1180">
    <w:name w:val="日期 字符"/>
    <w:next w:val="1180"/>
    <w:link w:val="1179"/>
    <w:qFormat/>
    <w:rPr>
      <w:rFonts w:ascii="仿宋_GB2312" w:hAnsi="宋体" w:eastAsia="仿宋_GB2312"/>
      <w:color w:val="000000"/>
      <w:sz w:val="24"/>
      <w:szCs w:val="24"/>
    </w:rPr>
  </w:style>
  <w:style w:type="paragraph" w:styleId="1181">
    <w:name w:val="正文文本缩进 2"/>
    <w:basedOn w:val="1136"/>
    <w:next w:val="1181"/>
    <w:link w:val="1182"/>
    <w:qFormat/>
    <w:pPr>
      <w:ind w:firstLine="480"/>
    </w:pPr>
    <w:rPr>
      <w:rFonts w:ascii="仿宋_GB2312" w:eastAsia="仿宋_GB2312"/>
      <w:sz w:val="24"/>
    </w:rPr>
  </w:style>
  <w:style w:type="character" w:styleId="1182">
    <w:name w:val="正文文本缩进 2 字符"/>
    <w:next w:val="1182"/>
    <w:link w:val="1181"/>
    <w:qFormat/>
    <w:rPr>
      <w:rFonts w:ascii="仿宋_GB2312" w:eastAsia="仿宋_GB2312"/>
      <w:sz w:val="24"/>
      <w:szCs w:val="24"/>
    </w:rPr>
  </w:style>
  <w:style w:type="paragraph" w:styleId="1183">
    <w:name w:val="批注框文本"/>
    <w:basedOn w:val="1136"/>
    <w:next w:val="1183"/>
    <w:link w:val="1184"/>
    <w:qFormat/>
    <w:rPr>
      <w:sz w:val="18"/>
      <w:szCs w:val="18"/>
    </w:rPr>
  </w:style>
  <w:style w:type="character" w:styleId="1184">
    <w:name w:val="批注框文本 字符"/>
    <w:next w:val="1184"/>
    <w:link w:val="1183"/>
    <w:qFormat/>
    <w:rPr>
      <w:sz w:val="18"/>
      <w:szCs w:val="18"/>
    </w:rPr>
  </w:style>
  <w:style w:type="paragraph" w:styleId="1185">
    <w:name w:val="页脚"/>
    <w:basedOn w:val="1136"/>
    <w:next w:val="1185"/>
    <w:link w:val="1186"/>
    <w:uiPriority w:val="99"/>
    <w:qFormat/>
    <w:pPr>
      <w:jc w:val="left"/>
      <w:tabs>
        <w:tab w:val="center" w:pos="4153" w:leader="none"/>
        <w:tab w:val="right" w:pos="8306" w:leader="none"/>
      </w:tabs>
    </w:pPr>
    <w:rPr>
      <w:rFonts w:ascii="宋体"/>
      <w:sz w:val="18"/>
      <w:szCs w:val="20"/>
    </w:rPr>
  </w:style>
  <w:style w:type="character" w:styleId="1186">
    <w:name w:val="页脚 字符"/>
    <w:next w:val="1186"/>
    <w:link w:val="1185"/>
    <w:uiPriority w:val="99"/>
    <w:qFormat/>
    <w:rPr>
      <w:rFonts w:ascii="宋体" w:eastAsia="宋体"/>
      <w:sz w:val="18"/>
      <w:lang w:val="en-US" w:eastAsia="zh-CN" w:bidi="ar-SA"/>
    </w:rPr>
  </w:style>
  <w:style w:type="paragraph" w:styleId="1187">
    <w:name w:val="寄信人地址"/>
    <w:basedOn w:val="1136"/>
    <w:next w:val="1187"/>
    <w:link w:val="1136"/>
    <w:qFormat/>
    <w:rPr>
      <w:rFonts w:ascii="Arial" w:hAnsi="Arial"/>
    </w:rPr>
  </w:style>
  <w:style w:type="paragraph" w:styleId="1188">
    <w:name w:val="页眉"/>
    <w:basedOn w:val="1136"/>
    <w:next w:val="1188"/>
    <w:link w:val="1189"/>
    <w:qFormat/>
    <w:pPr>
      <w:jc w:val="center"/>
      <w:tabs>
        <w:tab w:val="center" w:pos="4153" w:leader="none"/>
        <w:tab w:val="right" w:pos="8306" w:leader="none"/>
      </w:tabs>
    </w:pPr>
    <w:rPr>
      <w:sz w:val="18"/>
      <w:szCs w:val="18"/>
    </w:rPr>
  </w:style>
  <w:style w:type="character" w:styleId="1189">
    <w:name w:val="页眉 字符"/>
    <w:next w:val="1189"/>
    <w:link w:val="1188"/>
    <w:qFormat/>
    <w:rPr>
      <w:sz w:val="18"/>
      <w:szCs w:val="18"/>
    </w:rPr>
  </w:style>
  <w:style w:type="paragraph" w:styleId="1190">
    <w:name w:val="目录 1"/>
    <w:basedOn w:val="1136"/>
    <w:next w:val="1136"/>
    <w:link w:val="1136"/>
    <w:uiPriority w:val="39"/>
    <w:qFormat/>
    <w:pPr>
      <w:spacing w:line="300" w:lineRule="auto"/>
      <w:tabs>
        <w:tab w:val="left" w:pos="1050" w:leader="none"/>
        <w:tab w:val="right" w:pos="8937" w:leader="dot"/>
      </w:tabs>
    </w:pPr>
    <w:rPr>
      <w:rFonts w:ascii="宋体" w:hAnsi="宋体"/>
      <w:b/>
      <w:sz w:val="24"/>
    </w:rPr>
  </w:style>
  <w:style w:type="paragraph" w:styleId="1191">
    <w:name w:val="目录 4"/>
    <w:basedOn w:val="1136"/>
    <w:next w:val="1136"/>
    <w:link w:val="1136"/>
    <w:qFormat/>
    <w:pPr>
      <w:ind w:left="1260"/>
    </w:pPr>
  </w:style>
  <w:style w:type="paragraph" w:styleId="1192">
    <w:name w:val="目录 6"/>
    <w:basedOn w:val="1136"/>
    <w:next w:val="1136"/>
    <w:link w:val="1136"/>
    <w:qFormat/>
    <w:pPr>
      <w:ind w:left="2100"/>
    </w:pPr>
  </w:style>
  <w:style w:type="paragraph" w:styleId="1193">
    <w:name w:val="正文文本缩进 3"/>
    <w:basedOn w:val="1136"/>
    <w:next w:val="1193"/>
    <w:link w:val="1194"/>
    <w:qFormat/>
    <w:pPr>
      <w:ind w:left="720" w:firstLine="480"/>
      <w:jc w:val="left"/>
      <w:spacing w:before="120" w:line="22" w:lineRule="atLeast"/>
    </w:pPr>
    <w:rPr>
      <w:rFonts w:ascii="宋体"/>
      <w:sz w:val="24"/>
      <w:szCs w:val="20"/>
    </w:rPr>
  </w:style>
  <w:style w:type="character" w:styleId="1194">
    <w:name w:val="正文文本缩进 3 字符"/>
    <w:next w:val="1194"/>
    <w:link w:val="1193"/>
    <w:qFormat/>
    <w:rPr>
      <w:rFonts w:ascii="宋体"/>
      <w:sz w:val="24"/>
    </w:rPr>
  </w:style>
  <w:style w:type="paragraph" w:styleId="1195">
    <w:name w:val="目录 2"/>
    <w:basedOn w:val="1136"/>
    <w:next w:val="1136"/>
    <w:link w:val="1136"/>
    <w:uiPriority w:val="39"/>
    <w:qFormat/>
    <w:pPr>
      <w:ind w:left="420"/>
      <w:spacing w:line="312" w:lineRule="auto"/>
      <w:tabs>
        <w:tab w:val="right" w:pos="8937" w:leader="dot"/>
      </w:tabs>
    </w:pPr>
  </w:style>
  <w:style w:type="paragraph" w:styleId="1196">
    <w:name w:val="目录 9"/>
    <w:basedOn w:val="1136"/>
    <w:next w:val="1136"/>
    <w:link w:val="1136"/>
    <w:qFormat/>
    <w:pPr>
      <w:ind w:left="3360"/>
    </w:pPr>
  </w:style>
  <w:style w:type="paragraph" w:styleId="1197">
    <w:name w:val="HTML 预设格式"/>
    <w:basedOn w:val="1136"/>
    <w:next w:val="1197"/>
    <w:link w:val="11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98">
    <w:name w:val="HTML 预设格式 字符"/>
    <w:next w:val="1198"/>
    <w:link w:val="1197"/>
    <w:qFormat/>
    <w:rPr>
      <w:rFonts w:ascii="宋体" w:hAnsi="宋体" w:cs="宋体"/>
      <w:sz w:val="24"/>
      <w:szCs w:val="24"/>
    </w:rPr>
  </w:style>
  <w:style w:type="paragraph" w:styleId="1199">
    <w:name w:val="普通(网站)"/>
    <w:basedOn w:val="1136"/>
    <w:next w:val="1199"/>
    <w:link w:val="1136"/>
    <w:uiPriority w:val="99"/>
    <w:unhideWhenUsed/>
    <w:qFormat/>
    <w:pPr>
      <w:jc w:val="left"/>
      <w:spacing w:before="100" w:beforeAutospacing="1" w:after="100" w:afterAutospacing="1"/>
      <w:widowControl/>
    </w:pPr>
    <w:rPr>
      <w:rFonts w:ascii="宋体" w:hAnsi="宋体" w:cs="宋体"/>
      <w:sz w:val="24"/>
    </w:rPr>
  </w:style>
  <w:style w:type="paragraph" w:styleId="1200">
    <w:name w:val="索引 1"/>
    <w:basedOn w:val="1136"/>
    <w:next w:val="1136"/>
    <w:link w:val="1136"/>
    <w:qFormat/>
    <w:rPr>
      <w:szCs w:val="20"/>
    </w:rPr>
  </w:style>
  <w:style w:type="paragraph" w:styleId="1201">
    <w:name w:val="标题"/>
    <w:basedOn w:val="1136"/>
    <w:next w:val="1201"/>
    <w:link w:val="1202"/>
    <w:qFormat/>
    <w:pPr>
      <w:jc w:val="center"/>
      <w:outlineLvl w:val="0"/>
    </w:pPr>
    <w:rPr>
      <w:b/>
      <w:sz w:val="32"/>
      <w:szCs w:val="20"/>
    </w:rPr>
  </w:style>
  <w:style w:type="character" w:styleId="1202">
    <w:name w:val="标题 字符"/>
    <w:next w:val="1202"/>
    <w:link w:val="1201"/>
    <w:qFormat/>
    <w:rPr>
      <w:b/>
      <w:sz w:val="32"/>
    </w:rPr>
  </w:style>
  <w:style w:type="paragraph" w:styleId="1203">
    <w:name w:val="批注主题"/>
    <w:basedOn w:val="1164"/>
    <w:next w:val="1164"/>
    <w:link w:val="1204"/>
    <w:qFormat/>
    <w:rPr>
      <w:b/>
      <w:bCs/>
      <w:lang w:val="en-US" w:eastAsia="zh-CN"/>
    </w:rPr>
  </w:style>
  <w:style w:type="character" w:styleId="1204">
    <w:name w:val="批注主题 字符"/>
    <w:next w:val="1204"/>
    <w:link w:val="1203"/>
    <w:qFormat/>
    <w:rPr>
      <w:rFonts w:ascii="Times New Roman" w:hAnsi="Times New Roman" w:eastAsia="宋体" w:cs="Times New Roman"/>
      <w:b/>
      <w:bCs/>
      <w:sz w:val="21"/>
      <w:szCs w:val="24"/>
      <w:lang w:val="en-US" w:eastAsia="zh-CN" w:bidi="ar-SA"/>
    </w:rPr>
  </w:style>
  <w:style w:type="paragraph" w:styleId="1205">
    <w:name w:val="正文首行缩进"/>
    <w:basedOn w:val="1168"/>
    <w:next w:val="1136"/>
    <w:link w:val="1136"/>
    <w:uiPriority w:val="99"/>
    <w:unhideWhenUsed/>
    <w:qFormat/>
    <w:pPr>
      <w:ind w:firstLine="420"/>
      <w:tabs>
        <w:tab w:val="left" w:pos="567" w:leader="none"/>
      </w:tabs>
    </w:pPr>
    <w:rPr>
      <w:rFonts w:ascii="Times New Roman" w:hAnsi="Times New Roman"/>
      <w:sz w:val="21"/>
    </w:rPr>
  </w:style>
  <w:style w:type="paragraph" w:styleId="1206">
    <w:name w:val="正文首行缩进 2"/>
    <w:basedOn w:val="1170"/>
    <w:next w:val="1136"/>
    <w:link w:val="1207"/>
    <w:qFormat/>
    <w:pPr>
      <w:ind w:left="420" w:firstLine="420"/>
      <w:spacing w:after="120" w:line="480" w:lineRule="exact"/>
    </w:pPr>
  </w:style>
  <w:style w:type="character" w:styleId="1207">
    <w:name w:val="正文文本首行缩进 2 字符"/>
    <w:next w:val="1207"/>
    <w:link w:val="1206"/>
    <w:qFormat/>
    <w:rPr>
      <w:rFonts w:eastAsia="宋体"/>
      <w:sz w:val="24"/>
      <w:szCs w:val="24"/>
      <w:lang w:val="en-US" w:eastAsia="zh-CN" w:bidi="ar-SA"/>
    </w:rPr>
  </w:style>
  <w:style w:type="table" w:styleId="1208">
    <w:name w:val="网格型"/>
    <w:basedOn w:val="1147"/>
    <w:next w:val="1208"/>
    <w:link w:val="1136"/>
    <w:uiPriority w:val="39"/>
    <w:qFormat/>
    <w:tblPr/>
  </w:style>
  <w:style w:type="table" w:styleId="1209">
    <w:name w:val="中等深浅网格 1 - 强调文字颜色 2"/>
    <w:basedOn w:val="1147"/>
    <w:next w:val="1209"/>
    <w:link w:val="1136"/>
    <w:qFormat/>
    <w:rPr>
      <w:sz w:val="21"/>
      <w:szCs w:val="24"/>
    </w:rPr>
    <w:tblPr/>
  </w:style>
  <w:style w:type="character" w:styleId="1210">
    <w:name w:val="要点"/>
    <w:next w:val="1210"/>
    <w:link w:val="1136"/>
    <w:qFormat/>
    <w:rPr>
      <w:b/>
      <w:bCs/>
    </w:rPr>
  </w:style>
  <w:style w:type="character" w:styleId="1211">
    <w:name w:val="页码"/>
    <w:next w:val="1211"/>
    <w:link w:val="1136"/>
    <w:qFormat/>
  </w:style>
  <w:style w:type="character" w:styleId="1212">
    <w:name w:val="已访问的超链接"/>
    <w:next w:val="1212"/>
    <w:link w:val="1136"/>
    <w:qFormat/>
    <w:rPr>
      <w:color w:val="800080"/>
      <w:u w:val="single"/>
    </w:rPr>
  </w:style>
  <w:style w:type="character" w:styleId="1213">
    <w:name w:val="强调"/>
    <w:next w:val="1213"/>
    <w:link w:val="1136"/>
    <w:qFormat/>
    <w:rPr>
      <w:color w:val="cc0033"/>
    </w:rPr>
  </w:style>
  <w:style w:type="character" w:styleId="1214">
    <w:name w:val="超链接"/>
    <w:next w:val="1214"/>
    <w:link w:val="1136"/>
    <w:uiPriority w:val="99"/>
    <w:qFormat/>
    <w:rPr>
      <w:color w:val="0000ff"/>
      <w:u w:val="single"/>
    </w:rPr>
  </w:style>
  <w:style w:type="character" w:styleId="1215">
    <w:name w:val="批注引用"/>
    <w:next w:val="1215"/>
    <w:link w:val="1136"/>
    <w:uiPriority w:val="99"/>
    <w:qFormat/>
    <w:rPr>
      <w:sz w:val="21"/>
      <w:szCs w:val="21"/>
    </w:rPr>
  </w:style>
  <w:style w:type="character" w:styleId="1216">
    <w:name w:val="HTML 引文"/>
    <w:next w:val="1216"/>
    <w:link w:val="1136"/>
    <w:qFormat/>
    <w:rPr>
      <w:i/>
      <w:iCs/>
    </w:rPr>
  </w:style>
  <w:style w:type="paragraph" w:styleId="1217">
    <w:name w:val="正文文本1"/>
    <w:basedOn w:val="1136"/>
    <w:next w:val="1136"/>
    <w:link w:val="1136"/>
    <w:qFormat/>
    <w:pPr>
      <w:spacing w:before="120" w:line="22" w:lineRule="atLeast"/>
      <w:tabs>
        <w:tab w:val="left" w:pos="567" w:leader="none"/>
      </w:tabs>
    </w:pPr>
    <w:rPr>
      <w:rFonts w:ascii="宋体" w:hAnsi="宋体"/>
      <w:sz w:val="24"/>
    </w:rPr>
  </w:style>
  <w:style w:type="paragraph" w:styleId="1218">
    <w:name w:val="段"/>
    <w:next w:val="1136"/>
    <w:link w:val="1136"/>
    <w:unhideWhenUsed/>
    <w:qFormat/>
    <w:pPr>
      <w:ind w:firstLine="200"/>
      <w:jc w:val="both"/>
      <w:spacing w:line="360" w:lineRule="auto"/>
    </w:pPr>
    <w:rPr>
      <w:rFonts w:hint="eastAsia" w:ascii="宋体"/>
      <w:sz w:val="24"/>
      <w:lang w:val="en-US" w:eastAsia="zh-CN" w:bidi="ar-SA"/>
    </w:rPr>
  </w:style>
  <w:style w:type="character" w:styleId="1219">
    <w:name w:val="批注文字 字符"/>
    <w:next w:val="1219"/>
    <w:link w:val="1136"/>
    <w:uiPriority w:val="99"/>
    <w:qFormat/>
    <w:rPr>
      <w:rFonts w:ascii="Times New Roman" w:hAnsi="Times New Roman" w:eastAsia="宋体" w:cs="Times New Roman"/>
      <w:sz w:val="24"/>
      <w:lang w:val="en-US" w:eastAsia="zh-CN" w:bidi="ar-SA"/>
    </w:rPr>
  </w:style>
  <w:style w:type="character" w:styleId="1220">
    <w:name w:val="c21"/>
    <w:next w:val="1220"/>
    <w:link w:val="1136"/>
    <w:qFormat/>
    <w:rPr>
      <w:rFonts w:ascii="ˎ̥" w:hAnsi="ˎ̥"/>
      <w:color w:val="000000"/>
      <w:sz w:val="20"/>
      <w:szCs w:val="20"/>
      <w:u w:val="none"/>
    </w:rPr>
  </w:style>
  <w:style w:type="character" w:styleId="1221">
    <w:name w:val="title4"/>
    <w:next w:val="1221"/>
    <w:link w:val="1136"/>
    <w:qFormat/>
    <w:rPr>
      <w:b/>
      <w:bCs/>
      <w:color w:val="1d87b3"/>
      <w:sz w:val="15"/>
      <w:szCs w:val="15"/>
    </w:rPr>
  </w:style>
  <w:style w:type="character" w:styleId="1222">
    <w:name w:val="标题 2 Char Char"/>
    <w:next w:val="1222"/>
    <w:link w:val="1136"/>
    <w:qFormat/>
    <w:rPr>
      <w:rFonts w:ascii="Arial" w:hAnsi="Arial" w:eastAsia="黑体"/>
      <w:b/>
      <w:bCs/>
      <w:sz w:val="32"/>
      <w:szCs w:val="32"/>
      <w:lang w:val="en-US" w:eastAsia="zh-CN" w:bidi="ar-SA"/>
    </w:rPr>
  </w:style>
  <w:style w:type="character" w:styleId="1223">
    <w:name w:val="black1"/>
    <w:next w:val="1223"/>
    <w:link w:val="1136"/>
    <w:qFormat/>
    <w:rPr>
      <w:color w:val="000000"/>
    </w:rPr>
  </w:style>
  <w:style w:type="character" w:styleId="1224">
    <w:name w:val="street-address"/>
    <w:next w:val="1224"/>
    <w:link w:val="1136"/>
    <w:qFormat/>
  </w:style>
  <w:style w:type="character" w:styleId="1225">
    <w:name w:val="locality"/>
    <w:next w:val="1225"/>
    <w:link w:val="1136"/>
    <w:qFormat/>
  </w:style>
  <w:style w:type="character" w:styleId="1226">
    <w:name w:val="正文文本缩进 Char1"/>
    <w:next w:val="1226"/>
    <w:link w:val="1227"/>
    <w:qFormat/>
    <w:rPr>
      <w:rFonts w:ascii="宋体" w:hAnsi="宋体" w:eastAsia="宋体"/>
      <w:sz w:val="24"/>
      <w:szCs w:val="24"/>
      <w:lang w:bidi="ar-SA"/>
    </w:rPr>
  </w:style>
  <w:style w:type="paragraph" w:styleId="1227">
    <w:name w:val="正文文本缩进1"/>
    <w:basedOn w:val="1136"/>
    <w:next w:val="1227"/>
    <w:link w:val="1226"/>
    <w:qFormat/>
    <w:pPr>
      <w:ind w:firstLine="480"/>
      <w:spacing w:line="480" w:lineRule="exact"/>
    </w:pPr>
    <w:rPr>
      <w:rFonts w:ascii="宋体" w:hAnsi="宋体"/>
      <w:sz w:val="24"/>
    </w:rPr>
  </w:style>
  <w:style w:type="character" w:styleId="1228">
    <w:name w:val="Char Char11"/>
    <w:next w:val="1228"/>
    <w:link w:val="1136"/>
    <w:qFormat/>
    <w:rPr>
      <w:rFonts w:ascii="宋体" w:eastAsia="宋体"/>
      <w:b/>
      <w:sz w:val="24"/>
      <w:u w:val="single"/>
      <w:lang w:val="en-US" w:eastAsia="zh-CN" w:bidi="ar-SA"/>
    </w:rPr>
  </w:style>
  <w:style w:type="character" w:styleId="1229">
    <w:name w:val="txt"/>
    <w:next w:val="1229"/>
    <w:link w:val="1136"/>
    <w:qFormat/>
  </w:style>
  <w:style w:type="character" w:styleId="1230">
    <w:name w:val="正文缩进 Char Char"/>
    <w:next w:val="1230"/>
    <w:link w:val="1231"/>
    <w:qFormat/>
    <w:rPr>
      <w:rFonts w:ascii="宋体" w:eastAsia="宋体"/>
      <w:color w:val="000000"/>
      <w:sz w:val="28"/>
      <w:lang w:bidi="ar-SA"/>
    </w:rPr>
  </w:style>
  <w:style w:type="paragraph" w:styleId="1231">
    <w:name w:val="正文缩进1"/>
    <w:basedOn w:val="1136"/>
    <w:next w:val="1231"/>
    <w:link w:val="1230"/>
    <w:qFormat/>
    <w:pPr>
      <w:ind w:firstLine="567"/>
      <w:spacing w:line="480" w:lineRule="exact"/>
      <w:widowControl/>
    </w:pPr>
    <w:rPr>
      <w:rFonts w:ascii="宋体"/>
      <w:color w:val="000000"/>
      <w:sz w:val="28"/>
      <w:szCs w:val="20"/>
    </w:rPr>
  </w:style>
  <w:style w:type="character" w:styleId="1232">
    <w:name w:val="普通文字1 Char1"/>
    <w:next w:val="1232"/>
    <w:link w:val="1136"/>
    <w:qFormat/>
    <w:rPr>
      <w:rFonts w:ascii="宋体" w:hAnsi="Courier New" w:eastAsia="宋体"/>
      <w:sz w:val="21"/>
      <w:lang w:val="en-US" w:eastAsia="zh-CN" w:bidi="ar-SA"/>
    </w:rPr>
  </w:style>
  <w:style w:type="character" w:styleId="1233">
    <w:name w:val="chanpin1"/>
    <w:next w:val="1233"/>
    <w:link w:val="1136"/>
    <w:qFormat/>
    <w:rPr>
      <w:rFonts w:ascii="ˎ̥" w:hAnsi="ˎ̥"/>
      <w:color w:val="000000"/>
      <w:sz w:val="20"/>
      <w:szCs w:val="20"/>
      <w:u w:val="none"/>
    </w:rPr>
  </w:style>
  <w:style w:type="character" w:styleId="1234">
    <w:name w:val="列表段落 字符"/>
    <w:next w:val="1234"/>
    <w:link w:val="1235"/>
    <w:uiPriority w:val="34"/>
    <w:qFormat/>
    <w:rPr>
      <w:rFonts w:ascii="Calibri" w:hAnsi="Calibri" w:eastAsia="宋体"/>
      <w:sz w:val="21"/>
      <w:szCs w:val="22"/>
      <w:lang w:val="en-US" w:eastAsia="zh-CN" w:bidi="ar-SA"/>
    </w:rPr>
  </w:style>
  <w:style w:type="paragraph" w:styleId="1235">
    <w:name w:val="列表段落"/>
    <w:basedOn w:val="1136"/>
    <w:next w:val="1235"/>
    <w:link w:val="1234"/>
    <w:uiPriority w:val="34"/>
    <w:qFormat/>
    <w:pPr>
      <w:ind w:firstLine="420"/>
    </w:pPr>
    <w:rPr>
      <w:rFonts w:ascii="Calibri" w:hAnsi="Calibri"/>
      <w:szCs w:val="22"/>
    </w:rPr>
  </w:style>
  <w:style w:type="character" w:styleId="1236">
    <w:name w:val="标题 3 Char Char"/>
    <w:next w:val="1236"/>
    <w:link w:val="1136"/>
    <w:qFormat/>
    <w:rPr>
      <w:rFonts w:eastAsia="宋体"/>
      <w:b/>
      <w:bCs/>
      <w:sz w:val="32"/>
      <w:szCs w:val="32"/>
      <w:lang w:val="en-US" w:eastAsia="zh-CN" w:bidi="ar-SA"/>
    </w:rPr>
  </w:style>
  <w:style w:type="character" w:styleId="1237">
    <w:name w:val="段1 Char"/>
    <w:next w:val="1237"/>
    <w:link w:val="1136"/>
    <w:qFormat/>
    <w:rPr>
      <w:rFonts w:ascii="宋体" w:eastAsia="宋体"/>
      <w:sz w:val="24"/>
      <w:lang w:val="en-US" w:eastAsia="zh-CN" w:bidi="ar-SA"/>
    </w:rPr>
  </w:style>
  <w:style w:type="character" w:styleId="1238">
    <w:name w:val="chanpin拷贝"/>
    <w:next w:val="1238"/>
    <w:link w:val="1136"/>
    <w:qFormat/>
  </w:style>
  <w:style w:type="character" w:styleId="1239">
    <w:name w:val="纯文本 Char1"/>
    <w:next w:val="1239"/>
    <w:link w:val="1136"/>
    <w:qFormat/>
    <w:rPr>
      <w:rFonts w:ascii="宋体" w:hAnsi="Courier New" w:eastAsia="宋体"/>
      <w:sz w:val="21"/>
      <w:lang w:val="en-US" w:eastAsia="zh-CN" w:bidi="ar-SA"/>
    </w:rPr>
  </w:style>
  <w:style w:type="character" w:styleId="1240">
    <w:name w:val="apple-style-span"/>
    <w:next w:val="1240"/>
    <w:link w:val="1136"/>
    <w:qFormat/>
    <w:rPr>
      <w:rFonts w:cs="Times New Roman"/>
    </w:rPr>
  </w:style>
  <w:style w:type="paragraph" w:styleId="1241">
    <w:name w:val="二级条标题"/>
    <w:basedOn w:val="1242"/>
    <w:next w:val="1136"/>
    <w:link w:val="1136"/>
    <w:qFormat/>
    <w:pPr>
      <w:numPr>
        <w:ilvl w:val="0"/>
        <w:numId w:val="0"/>
      </w:numPr>
      <w:ind w:hanging="840"/>
      <w:tabs>
        <w:tab w:val="left" w:pos="360" w:leader="none"/>
        <w:tab w:val="left" w:pos="840" w:leader="none"/>
      </w:tabs>
      <w:outlineLvl w:val="2"/>
    </w:pPr>
    <w:rPr>
      <w:rFonts w:ascii="宋体" w:eastAsia="宋体"/>
      <w:b w:val="0"/>
    </w:rPr>
  </w:style>
  <w:style w:type="paragraph" w:styleId="1242">
    <w:name w:val="一级条标题"/>
    <w:basedOn w:val="1243"/>
    <w:next w:val="1136"/>
    <w:link w:val="1136"/>
    <w:qFormat/>
    <w:pPr>
      <w:numPr>
        <w:ilvl w:val="1"/>
      </w:numPr>
      <w:ind w:left="0" w:hanging="840"/>
      <w:tabs>
        <w:tab w:val="left" w:pos="360" w:leader="none"/>
        <w:tab w:val="left" w:pos="840" w:leader="none"/>
      </w:tabs>
      <w:outlineLvl w:val="1"/>
    </w:pPr>
  </w:style>
  <w:style w:type="paragraph" w:styleId="1243">
    <w:name w:val="章标题"/>
    <w:next w:val="1136"/>
    <w:link w:val="113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44">
    <w:name w:val="font7"/>
    <w:basedOn w:val="1136"/>
    <w:next w:val="1244"/>
    <w:link w:val="1136"/>
    <w:qFormat/>
    <w:pPr>
      <w:jc w:val="left"/>
      <w:spacing w:before="100" w:beforeAutospacing="1" w:after="100" w:afterAutospacing="1"/>
      <w:widowControl/>
    </w:pPr>
    <w:rPr>
      <w:rFonts w:eastAsia="Arial Unicode MS"/>
      <w:b/>
      <w:bCs/>
      <w:color w:val="000000"/>
      <w:sz w:val="20"/>
      <w:szCs w:val="20"/>
    </w:rPr>
  </w:style>
  <w:style w:type="paragraph" w:styleId="1245">
    <w:name w:val="字元 字元"/>
    <w:basedOn w:val="1136"/>
    <w:next w:val="1245"/>
    <w:link w:val="1136"/>
    <w:qFormat/>
    <w:rPr>
      <w:rFonts w:ascii="Tahoma" w:hAnsi="Tahoma"/>
      <w:sz w:val="24"/>
      <w:szCs w:val="20"/>
    </w:rPr>
  </w:style>
  <w:style w:type="paragraph" w:styleId="1246">
    <w:name w:val="Char3 Char Char Char"/>
    <w:basedOn w:val="1136"/>
    <w:next w:val="1246"/>
    <w:link w:val="1136"/>
    <w:qFormat/>
    <w:rPr>
      <w:rFonts w:ascii="Tahoma" w:hAnsi="Tahoma"/>
      <w:sz w:val="24"/>
      <w:szCs w:val="20"/>
    </w:rPr>
  </w:style>
  <w:style w:type="paragraph" w:styleId="1247">
    <w:name w:val="font6"/>
    <w:basedOn w:val="1136"/>
    <w:next w:val="1247"/>
    <w:link w:val="1136"/>
    <w:qFormat/>
    <w:pPr>
      <w:jc w:val="left"/>
      <w:spacing w:before="100" w:beforeAutospacing="1" w:after="100" w:afterAutospacing="1"/>
      <w:widowControl/>
    </w:pPr>
    <w:rPr>
      <w:rFonts w:ascii="宋体" w:hAnsi="宋体" w:cs="宋体"/>
      <w:sz w:val="20"/>
      <w:szCs w:val="20"/>
    </w:rPr>
  </w:style>
  <w:style w:type="paragraph" w:styleId="1248">
    <w:name w:val="项目编号2"/>
    <w:basedOn w:val="1249"/>
    <w:next w:val="1248"/>
    <w:link w:val="1136"/>
    <w:qFormat/>
    <w:pPr>
      <w:numPr>
        <w:numId w:val="3"/>
      </w:numPr>
    </w:pPr>
  </w:style>
  <w:style w:type="paragraph" w:styleId="1249">
    <w:name w:val="项目编号1"/>
    <w:basedOn w:val="1136"/>
    <w:next w:val="1249"/>
    <w:link w:val="1136"/>
    <w:qFormat/>
    <w:pPr>
      <w:numPr>
        <w:ilvl w:val="0"/>
        <w:numId w:val="2"/>
      </w:numPr>
      <w:spacing w:before="100" w:beforeAutospacing="1" w:after="100" w:afterAutospacing="1" w:line="360" w:lineRule="auto"/>
    </w:pPr>
    <w:rPr>
      <w:sz w:val="24"/>
    </w:rPr>
  </w:style>
  <w:style w:type="paragraph" w:styleId="1250">
    <w:name w:val="图中文字"/>
    <w:basedOn w:val="1136"/>
    <w:next w:val="1250"/>
    <w:link w:val="1136"/>
    <w:qFormat/>
    <w:pPr>
      <w:jc w:val="center"/>
      <w:spacing w:line="0" w:lineRule="atLeast"/>
    </w:pPr>
    <w:rPr>
      <w:sz w:val="24"/>
      <w:szCs w:val="20"/>
    </w:rPr>
  </w:style>
  <w:style w:type="paragraph" w:styleId="1251">
    <w:name w:val="xl46"/>
    <w:basedOn w:val="1136"/>
    <w:next w:val="1251"/>
    <w:link w:val="113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2">
    <w:name w:val="xl25"/>
    <w:basedOn w:val="1136"/>
    <w:next w:val="1252"/>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name w:val="Char2"/>
    <w:basedOn w:val="1136"/>
    <w:next w:val="1253"/>
    <w:link w:val="1136"/>
    <w:qFormat/>
    <w:rPr>
      <w:rFonts w:ascii="Tahoma" w:hAnsi="Tahoma"/>
      <w:sz w:val="24"/>
      <w:szCs w:val="20"/>
    </w:rPr>
  </w:style>
  <w:style w:type="paragraph" w:styleId="1254">
    <w:name w:val="xl35"/>
    <w:basedOn w:val="1136"/>
    <w:next w:val="1254"/>
    <w:link w:val="11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5">
    <w:name w:val="xl40"/>
    <w:basedOn w:val="1136"/>
    <w:next w:val="1255"/>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6">
    <w:name w:val="xl52"/>
    <w:basedOn w:val="1136"/>
    <w:next w:val="1256"/>
    <w:link w:val="11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7">
    <w:name w:val="xl43"/>
    <w:basedOn w:val="1136"/>
    <w:next w:val="1257"/>
    <w:link w:val="11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8">
    <w:name w:val="background1"/>
    <w:basedOn w:val="1136"/>
    <w:next w:val="1258"/>
    <w:link w:val="1136"/>
    <w:qFormat/>
    <w:pPr>
      <w:jc w:val="left"/>
      <w:spacing w:before="100" w:beforeAutospacing="1" w:after="100" w:afterAutospacing="1"/>
      <w:widowControl/>
    </w:pPr>
    <w:rPr>
      <w:rFonts w:ascii="宋体" w:hAnsi="宋体" w:cs="宋体"/>
      <w:sz w:val="24"/>
    </w:rPr>
  </w:style>
  <w:style w:type="paragraph" w:styleId="1259">
    <w:name w:val="Char Char Char Char Char Char Char"/>
    <w:basedOn w:val="1136"/>
    <w:next w:val="1259"/>
    <w:link w:val="1136"/>
    <w:qFormat/>
    <w:pPr>
      <w:ind w:firstLine="200"/>
      <w:spacing w:line="360" w:lineRule="auto"/>
    </w:pPr>
    <w:rPr>
      <w:rFonts w:eastAsia="仿宋_GB2312"/>
      <w:sz w:val="24"/>
    </w:rPr>
  </w:style>
  <w:style w:type="paragraph" w:styleId="1260">
    <w:name w:val="xl38"/>
    <w:basedOn w:val="1136"/>
    <w:next w:val="1260"/>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1">
    <w:name w:val="xl36"/>
    <w:basedOn w:val="1136"/>
    <w:next w:val="1261"/>
    <w:link w:val="113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2">
    <w:name w:val="正文 + 宋体"/>
    <w:basedOn w:val="1136"/>
    <w:next w:val="1262"/>
    <w:link w:val="1136"/>
    <w:qFormat/>
    <w:pPr>
      <w:ind w:left="360" w:hanging="360"/>
      <w:jc w:val="left"/>
      <w:widowControl/>
    </w:pPr>
    <w:rPr>
      <w:rFonts w:ascii="宋体" w:hAnsi="宋体" w:cs="宋体"/>
      <w:b/>
      <w:bCs/>
      <w:color w:val="000000"/>
      <w:sz w:val="18"/>
      <w:szCs w:val="18"/>
    </w:rPr>
  </w:style>
  <w:style w:type="paragraph" w:styleId="1263">
    <w:name w:val="正文列项_数字"/>
    <w:basedOn w:val="1136"/>
    <w:next w:val="1263"/>
    <w:link w:val="1136"/>
    <w:qFormat/>
    <w:pPr>
      <w:numPr>
        <w:ilvl w:val="7"/>
        <w:numId w:val="1"/>
      </w:numPr>
      <w:ind w:left="680" w:hanging="150"/>
      <w:spacing w:line="460" w:lineRule="exact"/>
      <w:tabs>
        <w:tab w:val="clear" w:pos="860" w:leader="none"/>
      </w:tabs>
      <w:outlineLvl w:val="7"/>
    </w:pPr>
    <w:rPr>
      <w:rFonts w:ascii="宋体"/>
      <w:sz w:val="28"/>
      <w:szCs w:val="20"/>
    </w:rPr>
  </w:style>
  <w:style w:type="paragraph" w:styleId="1264">
    <w:name w:val="xl39"/>
    <w:basedOn w:val="1136"/>
    <w:next w:val="1264"/>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5">
    <w:name w:val="xl37"/>
    <w:basedOn w:val="1136"/>
    <w:next w:val="1265"/>
    <w:link w:val="11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6">
    <w:name w:val="xl32"/>
    <w:basedOn w:val="1136"/>
    <w:next w:val="1266"/>
    <w:link w:val="11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7">
    <w:name w:val="font8"/>
    <w:basedOn w:val="1136"/>
    <w:next w:val="1267"/>
    <w:link w:val="1136"/>
    <w:qFormat/>
    <w:pPr>
      <w:jc w:val="left"/>
      <w:spacing w:before="100" w:beforeAutospacing="1" w:after="100" w:afterAutospacing="1"/>
      <w:widowControl/>
    </w:pPr>
    <w:rPr>
      <w:sz w:val="36"/>
      <w:szCs w:val="36"/>
    </w:rPr>
  </w:style>
  <w:style w:type="paragraph" w:styleId="1268">
    <w:name w:val="Char"/>
    <w:basedOn w:val="1136"/>
    <w:next w:val="1268"/>
    <w:link w:val="1136"/>
    <w:qFormat/>
    <w:pPr>
      <w:tabs>
        <w:tab w:val="left" w:pos="360" w:leader="none"/>
      </w:tabs>
    </w:pPr>
    <w:rPr>
      <w:sz w:val="24"/>
    </w:rPr>
  </w:style>
  <w:style w:type="paragraph" w:styleId="1269">
    <w:name w:val="Char Char Char Char Char Char Char Char Char Char Char Char Char Char Char Char"/>
    <w:basedOn w:val="1136"/>
    <w:next w:val="1269"/>
    <w:link w:val="1136"/>
    <w:qFormat/>
    <w:pPr>
      <w:jc w:val="center"/>
      <w:spacing w:after="160" w:line="240" w:lineRule="exact"/>
      <w:widowControl/>
    </w:pPr>
    <w:rPr>
      <w:rFonts w:ascii="宋体" w:hAnsi="宋体"/>
      <w:b/>
      <w:sz w:val="30"/>
      <w:szCs w:val="30"/>
      <w:lang w:eastAsia="en-US"/>
    </w:rPr>
  </w:style>
  <w:style w:type="paragraph" w:styleId="1270">
    <w:name w:val="xl45"/>
    <w:basedOn w:val="1136"/>
    <w:next w:val="1270"/>
    <w:link w:val="11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1">
    <w:name w:val="Char Char1 Char Char Char Char Char Char"/>
    <w:basedOn w:val="1136"/>
    <w:next w:val="1271"/>
    <w:link w:val="1136"/>
    <w:qFormat/>
    <w:pPr>
      <w:jc w:val="left"/>
      <w:spacing w:after="160" w:line="240" w:lineRule="exact"/>
      <w:widowControl/>
    </w:pPr>
    <w:rPr>
      <w:rFonts w:ascii="Verdana" w:hAnsi="Verdana" w:eastAsia="仿宋_GB2312"/>
      <w:sz w:val="24"/>
      <w:szCs w:val="20"/>
      <w:lang w:eastAsia="en-US"/>
    </w:rPr>
  </w:style>
  <w:style w:type="paragraph" w:styleId="1272">
    <w:name w:val="Char Char1"/>
    <w:basedOn w:val="1162"/>
    <w:next w:val="1272"/>
    <w:link w:val="1136"/>
    <w:qFormat/>
    <w:rPr>
      <w:rFonts w:ascii="Tahoma" w:hAnsi="Tahoma"/>
      <w:sz w:val="24"/>
    </w:rPr>
  </w:style>
  <w:style w:type="paragraph" w:styleId="1273">
    <w:name w:val="xl26"/>
    <w:basedOn w:val="1136"/>
    <w:next w:val="1273"/>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4">
    <w:name w:val="xl30"/>
    <w:basedOn w:val="1136"/>
    <w:next w:val="1274"/>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5">
    <w:name w:val="xl41"/>
    <w:basedOn w:val="1136"/>
    <w:next w:val="1275"/>
    <w:link w:val="113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6">
    <w:name w:val="样式 宋体 五号 行距: 单倍行距"/>
    <w:basedOn w:val="1136"/>
    <w:next w:val="1276"/>
    <w:link w:val="1136"/>
    <w:qFormat/>
    <w:pPr>
      <w:jc w:val="left"/>
    </w:pPr>
    <w:rPr>
      <w:rFonts w:ascii="宋体" w:hAnsi="宋体"/>
      <w:szCs w:val="20"/>
    </w:rPr>
  </w:style>
  <w:style w:type="paragraph" w:styleId="1277">
    <w:name w:val="Char1 Char Char Char1"/>
    <w:basedOn w:val="1136"/>
    <w:next w:val="1277"/>
    <w:link w:val="1136"/>
    <w:qFormat/>
    <w:rPr>
      <w:rFonts w:ascii="Tahoma" w:hAnsi="Tahoma" w:cs="仿宋_GB2312"/>
      <w:sz w:val="24"/>
      <w:szCs w:val="28"/>
    </w:rPr>
  </w:style>
  <w:style w:type="paragraph" w:styleId="1278">
    <w:name w:val="四级条标题"/>
    <w:basedOn w:val="1279"/>
    <w:next w:val="1136"/>
    <w:link w:val="1136"/>
    <w:qFormat/>
    <w:pPr>
      <w:numPr>
        <w:ilvl w:val="4"/>
      </w:numPr>
      <w:ind w:left="0" w:hanging="840"/>
      <w:tabs>
        <w:tab w:val="left" w:pos="360" w:leader="none"/>
        <w:tab w:val="left" w:pos="840" w:leader="none"/>
      </w:tabs>
      <w:outlineLvl w:val="4"/>
    </w:pPr>
  </w:style>
  <w:style w:type="paragraph" w:styleId="1279">
    <w:name w:val="三级条标题"/>
    <w:basedOn w:val="1241"/>
    <w:next w:val="1136"/>
    <w:link w:val="1136"/>
    <w:qFormat/>
    <w:pPr>
      <w:numPr>
        <w:ilvl w:val="3"/>
        <w:numId w:val="1"/>
      </w:numPr>
      <w:ind w:left="0" w:hanging="840"/>
      <w:tabs>
        <w:tab w:val="left" w:pos="360" w:leader="none"/>
        <w:tab w:val="left" w:pos="840" w:leader="none"/>
      </w:tabs>
      <w:outlineLvl w:val="3"/>
    </w:pPr>
  </w:style>
  <w:style w:type="paragraph" w:styleId="1280">
    <w:name w:val="??"/>
    <w:next w:val="1280"/>
    <w:link w:val="1136"/>
    <w:qFormat/>
    <w:pPr>
      <w:jc w:val="both"/>
      <w:widowControl w:val="off"/>
    </w:pPr>
    <w:rPr>
      <w:sz w:val="21"/>
      <w:lang w:val="en-US" w:eastAsia="en-US" w:bidi="ar-SA"/>
    </w:rPr>
  </w:style>
  <w:style w:type="paragraph" w:styleId="1281">
    <w:name w:val="样式 标题 2 + 宋体 五号 行距: 单倍行距"/>
    <w:basedOn w:val="1138"/>
    <w:next w:val="1281"/>
    <w:link w:val="113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82">
    <w:name w:val="List Paragraph1"/>
    <w:basedOn w:val="1136"/>
    <w:next w:val="1282"/>
    <w:link w:val="1136"/>
    <w:qFormat/>
    <w:pPr>
      <w:ind w:firstLine="420"/>
    </w:pPr>
    <w:rPr>
      <w:rFonts w:ascii="Calibri" w:hAnsi="Calibri"/>
      <w:szCs w:val="22"/>
    </w:rPr>
  </w:style>
  <w:style w:type="paragraph" w:styleId="1283">
    <w:name w:val="项目符号1"/>
    <w:basedOn w:val="1284"/>
    <w:next w:val="1283"/>
    <w:link w:val="1136"/>
    <w:qFormat/>
    <w:pPr>
      <w:ind w:left="-25" w:firstLine="0"/>
    </w:pPr>
  </w:style>
  <w:style w:type="paragraph" w:styleId="1284">
    <w:name w:val="正文文本样式"/>
    <w:basedOn w:val="1136"/>
    <w:next w:val="1284"/>
    <w:link w:val="1136"/>
    <w:qFormat/>
    <w:pPr>
      <w:ind w:firstLine="482"/>
      <w:spacing w:line="360" w:lineRule="auto"/>
    </w:pPr>
    <w:rPr>
      <w:rFonts w:cs="宋体"/>
      <w:sz w:val="24"/>
      <w:szCs w:val="20"/>
    </w:rPr>
  </w:style>
  <w:style w:type="paragraph" w:styleId="1285">
    <w:name w:val="xl27"/>
    <w:basedOn w:val="1136"/>
    <w:next w:val="1285"/>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6">
    <w:name w:val="font5"/>
    <w:basedOn w:val="1136"/>
    <w:next w:val="1286"/>
    <w:link w:val="1136"/>
    <w:qFormat/>
    <w:pPr>
      <w:jc w:val="left"/>
      <w:spacing w:before="100" w:beforeAutospacing="1" w:after="100" w:afterAutospacing="1"/>
      <w:widowControl/>
    </w:pPr>
    <w:rPr>
      <w:rFonts w:ascii="宋体" w:hAnsi="宋体" w:cs="宋体"/>
      <w:sz w:val="18"/>
      <w:szCs w:val="18"/>
    </w:rPr>
  </w:style>
  <w:style w:type="paragraph" w:styleId="1287">
    <w:name w:val="五级条标题"/>
    <w:basedOn w:val="1278"/>
    <w:next w:val="1136"/>
    <w:link w:val="1136"/>
    <w:qFormat/>
    <w:pPr>
      <w:numPr>
        <w:ilvl w:val="5"/>
      </w:numPr>
      <w:ind w:left="0" w:hanging="840"/>
      <w:tabs>
        <w:tab w:val="left" w:pos="360" w:leader="none"/>
        <w:tab w:val="left" w:pos="840" w:leader="none"/>
      </w:tabs>
      <w:outlineLvl w:val="5"/>
    </w:pPr>
  </w:style>
  <w:style w:type="paragraph" w:styleId="1288">
    <w:name w:val="xl49"/>
    <w:basedOn w:val="1136"/>
    <w:next w:val="1288"/>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9">
    <w:name w:val="文档正文"/>
    <w:basedOn w:val="1136"/>
    <w:next w:val="1289"/>
    <w:link w:val="1136"/>
    <w:qFormat/>
    <w:pPr>
      <w:spacing w:before="120" w:after="120" w:line="180" w:lineRule="auto"/>
    </w:pPr>
    <w:rPr>
      <w:rFonts w:ascii="Arial" w:hAnsi="Arial"/>
      <w:szCs w:val="20"/>
    </w:rPr>
  </w:style>
  <w:style w:type="paragraph" w:styleId="1290">
    <w:name w:val="xl33"/>
    <w:basedOn w:val="1136"/>
    <w:next w:val="1290"/>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1">
    <w:name w:val="xl42"/>
    <w:basedOn w:val="1136"/>
    <w:next w:val="1291"/>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2">
    <w:name w:val="Char Char Char1 Char"/>
    <w:basedOn w:val="1136"/>
    <w:next w:val="1292"/>
    <w:link w:val="1136"/>
    <w:qFormat/>
    <w:rPr>
      <w:rFonts w:ascii="Tahoma" w:hAnsi="Tahoma"/>
      <w:sz w:val="24"/>
      <w:szCs w:val="20"/>
    </w:rPr>
  </w:style>
  <w:style w:type="paragraph" w:styleId="1293">
    <w:name w:val="xl44"/>
    <w:basedOn w:val="1136"/>
    <w:next w:val="1293"/>
    <w:link w:val="11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4">
    <w:name w:val="1名"/>
    <w:basedOn w:val="1136"/>
    <w:next w:val="1294"/>
    <w:link w:val="1136"/>
    <w:qFormat/>
    <w:pPr>
      <w:numPr>
        <w:ilvl w:val="0"/>
        <w:numId w:val="5"/>
      </w:numPr>
      <w:spacing w:before="120"/>
      <w:tabs>
        <w:tab w:val="left" w:pos="360" w:leader="none"/>
      </w:tabs>
    </w:pPr>
    <w:rPr>
      <w:rFonts w:ascii="宋体"/>
      <w:sz w:val="28"/>
      <w:szCs w:val="20"/>
    </w:rPr>
  </w:style>
  <w:style w:type="paragraph" w:styleId="1295">
    <w:name w:val="font9"/>
    <w:basedOn w:val="1136"/>
    <w:next w:val="1295"/>
    <w:link w:val="1136"/>
    <w:qFormat/>
    <w:pPr>
      <w:jc w:val="left"/>
      <w:spacing w:before="100" w:beforeAutospacing="1" w:after="100" w:afterAutospacing="1"/>
      <w:widowControl/>
    </w:pPr>
    <w:rPr>
      <w:rFonts w:hint="eastAsia" w:ascii="宋体" w:hAnsi="宋体" w:cs="Arial Unicode MS"/>
      <w:color w:val="000000"/>
      <w:sz w:val="20"/>
      <w:szCs w:val="20"/>
    </w:rPr>
  </w:style>
  <w:style w:type="paragraph" w:styleId="1296">
    <w:name w:val="Char Char Char1 Char1"/>
    <w:basedOn w:val="1136"/>
    <w:next w:val="1296"/>
    <w:link w:val="1136"/>
    <w:qFormat/>
    <w:rPr>
      <w:rFonts w:ascii="Tahoma" w:hAnsi="Tahoma"/>
      <w:sz w:val="24"/>
      <w:szCs w:val="20"/>
    </w:rPr>
  </w:style>
  <w:style w:type="paragraph" w:styleId="1297">
    <w:name w:val="Char Char Char Char Char Char Char Char Char Char"/>
    <w:basedOn w:val="1136"/>
    <w:next w:val="1297"/>
    <w:link w:val="1136"/>
    <w:qFormat/>
  </w:style>
  <w:style w:type="paragraph" w:styleId="1298">
    <w:name w:val="Char Char1 Char Char Char Char Char Char Char Char"/>
    <w:basedOn w:val="1136"/>
    <w:next w:val="1298"/>
    <w:link w:val="1136"/>
    <w:qFormat/>
    <w:pPr>
      <w:jc w:val="left"/>
      <w:spacing w:after="160" w:line="240" w:lineRule="exact"/>
      <w:widowControl/>
    </w:pPr>
    <w:rPr>
      <w:rFonts w:ascii="Verdana" w:hAnsi="Verdana"/>
      <w:sz w:val="20"/>
      <w:szCs w:val="20"/>
      <w:lang w:eastAsia="en-US"/>
    </w:rPr>
  </w:style>
  <w:style w:type="paragraph" w:styleId="1299">
    <w:name w:val="Char1"/>
    <w:basedOn w:val="1136"/>
    <w:next w:val="1299"/>
    <w:link w:val="1136"/>
    <w:qFormat/>
    <w:pPr>
      <w:tabs>
        <w:tab w:val="left" w:pos="360" w:leader="none"/>
      </w:tabs>
    </w:pPr>
    <w:rPr>
      <w:sz w:val="24"/>
    </w:rPr>
  </w:style>
  <w:style w:type="paragraph" w:styleId="1300">
    <w:name w:val="正文列项_字母"/>
    <w:basedOn w:val="1136"/>
    <w:next w:val="1300"/>
    <w:link w:val="1136"/>
    <w:qFormat/>
    <w:pPr>
      <w:numPr>
        <w:ilvl w:val="6"/>
        <w:numId w:val="1"/>
      </w:numPr>
      <w:ind w:left="480" w:hanging="180"/>
      <w:spacing w:line="460" w:lineRule="exact"/>
      <w:tabs>
        <w:tab w:val="clear" w:pos="635" w:leader="none"/>
      </w:tabs>
      <w:outlineLvl w:val="6"/>
    </w:pPr>
    <w:rPr>
      <w:rFonts w:ascii="宋体"/>
      <w:sz w:val="28"/>
      <w:szCs w:val="20"/>
    </w:rPr>
  </w:style>
  <w:style w:type="paragraph" w:styleId="1301">
    <w:name w:val="xl28"/>
    <w:basedOn w:val="1136"/>
    <w:next w:val="1301"/>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2">
    <w:name w:val="xl47"/>
    <w:basedOn w:val="1136"/>
    <w:next w:val="1302"/>
    <w:link w:val="11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默认段落字体 Para Char Char Char Char"/>
    <w:basedOn w:val="1136"/>
    <w:next w:val="1303"/>
    <w:link w:val="1136"/>
    <w:qFormat/>
    <w:rPr>
      <w:rFonts w:ascii="Arial" w:hAnsi="Arial" w:cs="Arial"/>
      <w:szCs w:val="21"/>
    </w:rPr>
  </w:style>
  <w:style w:type="paragraph" w:styleId="1304">
    <w:name w:val="xl48"/>
    <w:basedOn w:val="1136"/>
    <w:next w:val="1304"/>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5">
    <w:name w:val="xl31"/>
    <w:basedOn w:val="1136"/>
    <w:next w:val="1305"/>
    <w:link w:val="11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6">
    <w:name w:val="xl53"/>
    <w:basedOn w:val="1136"/>
    <w:next w:val="1306"/>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7">
    <w:name w:val="Char Char Char"/>
    <w:basedOn w:val="1136"/>
    <w:next w:val="1307"/>
    <w:link w:val="1136"/>
    <w:qFormat/>
    <w:rPr>
      <w:rFonts w:ascii="Tahoma" w:hAnsi="Tahoma"/>
      <w:sz w:val="24"/>
      <w:szCs w:val="20"/>
    </w:rPr>
  </w:style>
  <w:style w:type="paragraph" w:styleId="1308">
    <w:name w:val="xl50"/>
    <w:basedOn w:val="1136"/>
    <w:next w:val="1308"/>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9">
    <w:name w:val="缺省文本"/>
    <w:basedOn w:val="1136"/>
    <w:next w:val="1309"/>
    <w:link w:val="1136"/>
    <w:qFormat/>
    <w:pPr>
      <w:jc w:val="left"/>
    </w:pPr>
    <w:rPr>
      <w:sz w:val="24"/>
    </w:rPr>
  </w:style>
  <w:style w:type="paragraph" w:styleId="1310">
    <w:name w:val="Char Char Char1"/>
    <w:basedOn w:val="1136"/>
    <w:next w:val="1310"/>
    <w:link w:val="1136"/>
    <w:qFormat/>
    <w:rPr>
      <w:rFonts w:ascii="Tahoma" w:hAnsi="Tahoma"/>
      <w:sz w:val="24"/>
      <w:szCs w:val="20"/>
    </w:rPr>
  </w:style>
  <w:style w:type="paragraph" w:styleId="1311">
    <w:name w:val="Char Char Char Char Char Char Char1"/>
    <w:basedOn w:val="1136"/>
    <w:next w:val="1311"/>
    <w:link w:val="1136"/>
    <w:qFormat/>
    <w:pPr>
      <w:ind w:firstLine="200"/>
      <w:spacing w:line="360" w:lineRule="auto"/>
    </w:pPr>
    <w:rPr>
      <w:rFonts w:eastAsia="仿宋_GB2312"/>
      <w:sz w:val="24"/>
    </w:rPr>
  </w:style>
  <w:style w:type="paragraph" w:styleId="1312">
    <w:name w:val="xl51"/>
    <w:basedOn w:val="1136"/>
    <w:next w:val="1312"/>
    <w:link w:val="11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3">
    <w:name w:val="样式2"/>
    <w:basedOn w:val="1200"/>
    <w:next w:val="1313"/>
    <w:link w:val="1136"/>
    <w:qFormat/>
    <w:pPr>
      <w:jc w:val="center"/>
      <w:spacing w:line="360" w:lineRule="auto"/>
    </w:pPr>
    <w:rPr>
      <w:sz w:val="24"/>
    </w:rPr>
  </w:style>
  <w:style w:type="paragraph" w:styleId="1314">
    <w:name w:val="xl24"/>
    <w:basedOn w:val="1136"/>
    <w:next w:val="1314"/>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5">
    <w:name w:val="xl29"/>
    <w:basedOn w:val="1136"/>
    <w:next w:val="1315"/>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6">
    <w:name w:val="正文 + 楷体_GB2312"/>
    <w:basedOn w:val="1136"/>
    <w:next w:val="1316"/>
    <w:link w:val="1136"/>
    <w:qFormat/>
    <w:pPr>
      <w:jc w:val="left"/>
      <w:widowControl/>
    </w:pPr>
    <w:rPr>
      <w:rFonts w:ascii="楷体_GB2312" w:eastAsia="楷体_GB2312" w:cs="Arial"/>
      <w:sz w:val="24"/>
    </w:rPr>
  </w:style>
  <w:style w:type="paragraph" w:styleId="1317">
    <w:name w:val="xl34"/>
    <w:basedOn w:val="1136"/>
    <w:next w:val="1317"/>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8">
    <w:name w:val="1 Char Char Char Char"/>
    <w:basedOn w:val="1136"/>
    <w:next w:val="1318"/>
    <w:link w:val="1136"/>
    <w:qFormat/>
    <w:rPr>
      <w:rFonts w:ascii="Tahoma" w:hAnsi="Tahoma"/>
      <w:sz w:val="24"/>
      <w:szCs w:val="20"/>
    </w:rPr>
  </w:style>
  <w:style w:type="paragraph" w:styleId="1319">
    <w:name w:val="列出段落1"/>
    <w:basedOn w:val="1136"/>
    <w:next w:val="1136"/>
    <w:link w:val="1136"/>
    <w:qFormat/>
    <w:pPr>
      <w:ind w:firstLine="420"/>
    </w:pPr>
    <w:rPr>
      <w:rFonts w:ascii="Calibri" w:hAnsi="Calibri"/>
      <w:szCs w:val="22"/>
    </w:rPr>
  </w:style>
  <w:style w:type="paragraph" w:styleId="1320">
    <w:name w:val="default"/>
    <w:basedOn w:val="1136"/>
    <w:next w:val="1320"/>
    <w:link w:val="1136"/>
    <w:qFormat/>
    <w:pPr>
      <w:jc w:val="left"/>
      <w:spacing w:before="100" w:beforeAutospacing="1" w:after="100" w:afterAutospacing="1"/>
      <w:widowControl/>
    </w:pPr>
    <w:rPr>
      <w:rFonts w:ascii="宋体" w:hAnsi="宋体" w:cs="宋体"/>
      <w:sz w:val="24"/>
    </w:rPr>
  </w:style>
  <w:style w:type="paragraph" w:styleId="1321">
    <w:name w:val="字元 字元1"/>
    <w:basedOn w:val="1136"/>
    <w:next w:val="1321"/>
    <w:link w:val="1136"/>
    <w:qFormat/>
    <w:rPr>
      <w:rFonts w:ascii="Tahoma" w:hAnsi="Tahoma"/>
      <w:sz w:val="24"/>
      <w:szCs w:val="20"/>
    </w:rPr>
  </w:style>
  <w:style w:type="paragraph" w:styleId="1322">
    <w:name w:val="_Style 160"/>
    <w:next w:val="1322"/>
    <w:link w:val="1136"/>
    <w:qFormat/>
    <w:rPr>
      <w:sz w:val="21"/>
      <w:szCs w:val="24"/>
      <w:lang w:val="en-US" w:eastAsia="zh-CN" w:bidi="ar-SA"/>
    </w:rPr>
  </w:style>
  <w:style w:type="paragraph" w:styleId="1323">
    <w:name w:val="项目编号3"/>
    <w:basedOn w:val="1284"/>
    <w:next w:val="1323"/>
    <w:link w:val="1136"/>
    <w:qFormat/>
    <w:pPr>
      <w:numPr>
        <w:ilvl w:val="0"/>
        <w:numId w:val="6"/>
      </w:numPr>
    </w:pPr>
  </w:style>
  <w:style w:type="paragraph" w:styleId="1324">
    <w:name w:val="Char21"/>
    <w:basedOn w:val="1136"/>
    <w:next w:val="1324"/>
    <w:link w:val="1136"/>
    <w:qFormat/>
    <w:rPr>
      <w:rFonts w:ascii="Tahoma" w:hAnsi="Tahoma"/>
      <w:sz w:val="24"/>
      <w:szCs w:val="20"/>
    </w:rPr>
  </w:style>
  <w:style w:type="paragraph" w:styleId="1325">
    <w:name w:val="表格文字"/>
    <w:basedOn w:val="1170"/>
    <w:next w:val="1325"/>
    <w:link w:val="1136"/>
    <w:qFormat/>
    <w:pPr>
      <w:ind w:firstLine="0"/>
      <w:spacing w:before="20" w:after="20" w:line="240" w:lineRule="auto"/>
    </w:pPr>
    <w:rPr>
      <w:rFonts w:ascii="Century Gothic" w:hAnsi="Century Gothic"/>
      <w:sz w:val="20"/>
      <w:szCs w:val="20"/>
    </w:rPr>
  </w:style>
  <w:style w:type="paragraph" w:styleId="1326">
    <w:name w:val="Char Char Char Char Char Char Char Char Char Char1"/>
    <w:basedOn w:val="1136"/>
    <w:next w:val="1326"/>
    <w:link w:val="1136"/>
    <w:qFormat/>
    <w:rPr>
      <w:rFonts w:ascii="宋体" w:hAnsi="宋体" w:cs="Courier New"/>
      <w:sz w:val="32"/>
      <w:szCs w:val="32"/>
    </w:rPr>
  </w:style>
  <w:style w:type="paragraph" w:styleId="1327">
    <w:name w:val="正文文本样式 加粗"/>
    <w:basedOn w:val="1284"/>
    <w:next w:val="1327"/>
    <w:link w:val="1136"/>
    <w:qFormat/>
    <w:rPr>
      <w:b/>
    </w:rPr>
  </w:style>
  <w:style w:type="paragraph" w:styleId="1328">
    <w:name w:val="Char2 Char Char Char Char Char Char"/>
    <w:basedOn w:val="1136"/>
    <w:next w:val="1328"/>
    <w:link w:val="1136"/>
    <w:qFormat/>
    <w:pPr>
      <w:jc w:val="center"/>
      <w:spacing w:line="400" w:lineRule="exact"/>
      <w:widowControl/>
    </w:pPr>
  </w:style>
  <w:style w:type="paragraph" w:styleId="1329">
    <w:name w:val="Char Char4"/>
    <w:basedOn w:val="1136"/>
    <w:next w:val="1329"/>
    <w:link w:val="1136"/>
    <w:qFormat/>
    <w:pPr>
      <w:jc w:val="center"/>
      <w:spacing w:line="400" w:lineRule="exact"/>
      <w:widowControl/>
    </w:pPr>
  </w:style>
  <w:style w:type="paragraph" w:styleId="1330">
    <w:name w:val="Char3 Char Char Char1"/>
    <w:basedOn w:val="1136"/>
    <w:next w:val="1330"/>
    <w:link w:val="1136"/>
    <w:qFormat/>
    <w:rPr>
      <w:rFonts w:ascii="Tahoma" w:hAnsi="Tahoma"/>
      <w:sz w:val="24"/>
      <w:szCs w:val="20"/>
    </w:rPr>
  </w:style>
  <w:style w:type="paragraph" w:styleId="1331">
    <w:name w:val="无间隔"/>
    <w:next w:val="1331"/>
    <w:link w:val="1136"/>
    <w:qFormat/>
    <w:pPr>
      <w:jc w:val="both"/>
      <w:widowControl w:val="off"/>
    </w:pPr>
    <w:rPr>
      <w:sz w:val="21"/>
      <w:szCs w:val="24"/>
      <w:lang w:val="en-US" w:eastAsia="zh-CN" w:bidi="ar-SA"/>
    </w:rPr>
  </w:style>
  <w:style w:type="paragraph" w:styleId="1332">
    <w:name w:val="22222222222222"/>
    <w:basedOn w:val="1136"/>
    <w:next w:val="1332"/>
    <w:link w:val="1136"/>
    <w:qFormat/>
    <w:pPr>
      <w:ind w:firstLine="480"/>
      <w:jc w:val="left"/>
      <w:spacing w:line="360" w:lineRule="auto"/>
      <w:widowControl/>
    </w:pPr>
    <w:rPr>
      <w:color w:val="ff0000"/>
      <w:sz w:val="24"/>
      <w:szCs w:val="20"/>
    </w:rPr>
  </w:style>
  <w:style w:type="character" w:styleId="1333">
    <w:name w:val="中等深浅网格 1 - 强调文字颜色 2 Char"/>
    <w:next w:val="1333"/>
    <w:link w:val="1334"/>
    <w:qFormat/>
    <w:rPr>
      <w:sz w:val="21"/>
      <w:szCs w:val="24"/>
      <w:lang w:val="zh-CN" w:eastAsia="zh-CN" w:bidi="ar-SA"/>
    </w:rPr>
  </w:style>
  <w:style w:type="paragraph" w:styleId="1334">
    <w:name w:val="1"/>
    <w:next w:val="1334"/>
    <w:link w:val="1333"/>
    <w:qFormat/>
    <w:rPr>
      <w:sz w:val="21"/>
      <w:szCs w:val="24"/>
      <w:lang w:val="zh-CN" w:eastAsia="zh-CN" w:bidi="ar-SA"/>
    </w:rPr>
  </w:style>
  <w:style w:type="paragraph" w:styleId="1335">
    <w:name w:val="图文"/>
    <w:basedOn w:val="1136"/>
    <w:next w:val="1335"/>
    <w:link w:val="1136"/>
    <w:qFormat/>
    <w:pPr>
      <w:spacing w:after="50" w:line="360" w:lineRule="auto"/>
    </w:pPr>
    <w:rPr>
      <w:sz w:val="24"/>
    </w:rPr>
  </w:style>
  <w:style w:type="paragraph" w:styleId="1336">
    <w:name w:val="xl23"/>
    <w:basedOn w:val="1136"/>
    <w:next w:val="1336"/>
    <w:link w:val="1136"/>
    <w:qFormat/>
    <w:pPr>
      <w:spacing w:before="100" w:beforeAutospacing="1" w:after="100" w:afterAutospacing="1" w:line="360" w:lineRule="auto"/>
      <w:widowControl/>
    </w:pPr>
    <w:rPr>
      <w:sz w:val="24"/>
      <w:szCs w:val="20"/>
    </w:rPr>
  </w:style>
  <w:style w:type="paragraph" w:styleId="1337">
    <w:name w:val="正文表格"/>
    <w:basedOn w:val="1136"/>
    <w:next w:val="1337"/>
    <w:link w:val="1338"/>
    <w:qFormat/>
    <w:pPr>
      <w:jc w:val="left"/>
    </w:pPr>
    <w:rPr>
      <w:rFonts w:ascii="宋体" w:hAnsi="宋体"/>
      <w:color w:val="000000"/>
      <w:szCs w:val="21"/>
    </w:rPr>
  </w:style>
  <w:style w:type="character" w:styleId="1338">
    <w:name w:val="正文表格 Char"/>
    <w:next w:val="1338"/>
    <w:link w:val="1337"/>
    <w:qFormat/>
    <w:rPr>
      <w:rFonts w:ascii="宋体" w:hAnsi="宋体"/>
      <w:color w:val="000000"/>
      <w:sz w:val="21"/>
      <w:szCs w:val="21"/>
    </w:rPr>
  </w:style>
  <w:style w:type="paragraph" w:styleId="1339">
    <w:name w:val="正文重点"/>
    <w:basedOn w:val="1136"/>
    <w:next w:val="1339"/>
    <w:link w:val="1340"/>
    <w:qFormat/>
    <w:pPr>
      <w:ind w:firstLine="482"/>
      <w:jc w:val="left"/>
      <w:spacing w:line="360" w:lineRule="auto"/>
    </w:pPr>
    <w:rPr>
      <w:b/>
      <w:sz w:val="24"/>
      <w:szCs w:val="20"/>
    </w:rPr>
  </w:style>
  <w:style w:type="character" w:styleId="1340">
    <w:name w:val="正文重点 Char"/>
    <w:next w:val="1340"/>
    <w:link w:val="1339"/>
    <w:qFormat/>
    <w:rPr>
      <w:b/>
      <w:sz w:val="24"/>
    </w:rPr>
  </w:style>
  <w:style w:type="paragraph" w:styleId="1341">
    <w:name w:val="标题1-附件"/>
    <w:basedOn w:val="1137"/>
    <w:next w:val="1341"/>
    <w:link w:val="1136"/>
    <w:qFormat/>
    <w:pPr>
      <w:jc w:val="left"/>
    </w:pPr>
    <w:rPr>
      <w:sz w:val="24"/>
      <w:szCs w:val="24"/>
    </w:rPr>
  </w:style>
  <w:style w:type="paragraph" w:styleId="1342">
    <w:name w:val="正文小标题"/>
    <w:basedOn w:val="1136"/>
    <w:next w:val="1151"/>
    <w:link w:val="1343"/>
    <w:qFormat/>
    <w:pPr>
      <w:ind w:firstLine="482"/>
      <w:jc w:val="left"/>
      <w:spacing w:before="312" w:after="312"/>
    </w:pPr>
    <w:rPr>
      <w:rFonts w:ascii="宋体" w:hAnsi="宋体"/>
      <w:b/>
      <w:i/>
      <w:color w:val="ff0000"/>
      <w:sz w:val="24"/>
      <w:szCs w:val="20"/>
    </w:rPr>
  </w:style>
  <w:style w:type="character" w:styleId="1343">
    <w:name w:val="正文小标题 Char"/>
    <w:next w:val="1343"/>
    <w:link w:val="1342"/>
    <w:qFormat/>
    <w:rPr>
      <w:rFonts w:ascii="宋体" w:hAnsi="宋体"/>
      <w:b/>
      <w:i/>
      <w:color w:val="ff0000"/>
      <w:sz w:val="24"/>
    </w:rPr>
  </w:style>
  <w:style w:type="paragraph" w:styleId="1344">
    <w:name w:val="正文大标题"/>
    <w:basedOn w:val="1342"/>
    <w:next w:val="1151"/>
    <w:link w:val="1345"/>
    <w:qFormat/>
    <w:pPr>
      <w:jc w:val="center"/>
    </w:pPr>
    <w:rPr>
      <w:i w:val="0"/>
      <w:color w:val="000000"/>
      <w:sz w:val="28"/>
      <w:szCs w:val="21"/>
    </w:rPr>
  </w:style>
  <w:style w:type="character" w:styleId="1345">
    <w:name w:val="正文大标题 Char"/>
    <w:next w:val="1345"/>
    <w:link w:val="1344"/>
    <w:qFormat/>
    <w:rPr>
      <w:rFonts w:ascii="宋体" w:hAnsi="宋体"/>
      <w:b/>
      <w:color w:val="000000"/>
      <w:sz w:val="28"/>
      <w:szCs w:val="21"/>
    </w:rPr>
  </w:style>
  <w:style w:type="paragraph" w:styleId="1346">
    <w:name w:val="注释"/>
    <w:basedOn w:val="1136"/>
    <w:next w:val="1346"/>
    <w:link w:val="1347"/>
    <w:qFormat/>
    <w:pPr>
      <w:ind w:left="420" w:hanging="420"/>
      <w:jc w:val="left"/>
    </w:pPr>
    <w:rPr>
      <w:rFonts w:ascii="宋体" w:hAnsi="宋体"/>
      <w:szCs w:val="21"/>
    </w:rPr>
  </w:style>
  <w:style w:type="character" w:styleId="1347">
    <w:name w:val="注释 Char"/>
    <w:next w:val="1347"/>
    <w:link w:val="1346"/>
    <w:qFormat/>
    <w:rPr>
      <w:rFonts w:ascii="宋体" w:hAnsi="宋体"/>
      <w:sz w:val="21"/>
      <w:szCs w:val="21"/>
    </w:rPr>
  </w:style>
  <w:style w:type="paragraph" w:styleId="1348">
    <w:name w:val="正文须知-1级"/>
    <w:basedOn w:val="1136"/>
    <w:next w:val="1136"/>
    <w:link w:val="1136"/>
    <w:qFormat/>
    <w:pPr>
      <w:numPr>
        <w:ilvl w:val="0"/>
        <w:numId w:val="7"/>
      </w:numPr>
      <w:spacing w:line="300" w:lineRule="auto"/>
    </w:pPr>
    <w:rPr>
      <w:rFonts w:ascii="宋体" w:hAnsi="Calibri"/>
      <w:sz w:val="24"/>
      <w:szCs w:val="21"/>
    </w:rPr>
  </w:style>
  <w:style w:type="paragraph" w:styleId="1349">
    <w:name w:val="正文须知-2级"/>
    <w:basedOn w:val="1136"/>
    <w:next w:val="1349"/>
    <w:link w:val="1136"/>
    <w:qFormat/>
    <w:pPr>
      <w:numPr>
        <w:ilvl w:val="1"/>
        <w:numId w:val="7"/>
      </w:numPr>
      <w:spacing w:line="300" w:lineRule="auto"/>
    </w:pPr>
    <w:rPr>
      <w:rFonts w:ascii="宋体" w:hAnsi="Calibri"/>
      <w:sz w:val="24"/>
      <w:szCs w:val="21"/>
    </w:rPr>
  </w:style>
  <w:style w:type="paragraph" w:styleId="1350">
    <w:name w:val="正文须知-3级"/>
    <w:basedOn w:val="1136"/>
    <w:next w:val="1350"/>
    <w:link w:val="1136"/>
    <w:qFormat/>
    <w:pPr>
      <w:numPr>
        <w:ilvl w:val="2"/>
        <w:numId w:val="7"/>
      </w:numPr>
      <w:ind w:hanging="355"/>
      <w:spacing w:line="300" w:lineRule="auto"/>
    </w:pPr>
    <w:rPr>
      <w:rFonts w:ascii="宋体" w:hAnsi="Calibri"/>
      <w:sz w:val="24"/>
      <w:szCs w:val="21"/>
    </w:rPr>
  </w:style>
  <w:style w:type="character" w:styleId="1351">
    <w:name w:val="纯文本 字符"/>
    <w:next w:val="1351"/>
    <w:link w:val="1136"/>
    <w:uiPriority w:val="99"/>
    <w:qFormat/>
    <w:rPr>
      <w:rFonts w:ascii="宋体" w:hAnsi="Courier New" w:eastAsia="宋体" w:cs="Times New Roman"/>
      <w:sz w:val="21"/>
      <w:szCs w:val="21"/>
      <w:lang w:val="en-US" w:eastAsia="zh-CN" w:bidi="ar-SA"/>
    </w:rPr>
  </w:style>
  <w:style w:type="paragraph" w:styleId="1352">
    <w:name w:val="表格1"/>
    <w:basedOn w:val="1136"/>
    <w:next w:val="1352"/>
    <w:link w:val="1136"/>
    <w:qFormat/>
    <w:pPr>
      <w:ind w:firstLine="480"/>
      <w:jc w:val="center"/>
    </w:pPr>
    <w:rPr>
      <w:sz w:val="24"/>
      <w:szCs w:val="20"/>
    </w:rPr>
  </w:style>
  <w:style w:type="character" w:styleId="1353">
    <w:name w:val="纯文本 字符1"/>
    <w:next w:val="1353"/>
    <w:link w:val="1136"/>
    <w:qFormat/>
    <w:rPr>
      <w:rFonts w:ascii="宋体" w:hAnsi="Courier New"/>
    </w:rPr>
  </w:style>
  <w:style w:type="character" w:styleId="1354">
    <w:name w:val="bjh-p"/>
    <w:next w:val="1354"/>
    <w:link w:val="1136"/>
    <w:qFormat/>
  </w:style>
  <w:style w:type="paragraph" w:styleId="1355">
    <w:name w:val="无标题条"/>
    <w:next w:val="1136"/>
    <w:link w:val="1136"/>
    <w:qFormat/>
    <w:pPr>
      <w:jc w:val="both"/>
    </w:pPr>
    <w:rPr>
      <w:sz w:val="21"/>
      <w:lang w:val="en-US" w:eastAsia="zh-CN" w:bidi="ar-SA"/>
    </w:rPr>
  </w:style>
  <w:style w:type="character" w:styleId="1356">
    <w:name w:val="正文格式 Char"/>
    <w:next w:val="1356"/>
    <w:link w:val="1357"/>
    <w:qFormat/>
    <w:rPr>
      <w:rFonts w:ascii="宋体" w:hAnsi="宋体"/>
      <w:sz w:val="24"/>
      <w:szCs w:val="24"/>
      <w:lang w:val="en-GB"/>
    </w:rPr>
  </w:style>
  <w:style w:type="paragraph" w:styleId="1357">
    <w:name w:val="正文格式"/>
    <w:basedOn w:val="1136"/>
    <w:next w:val="1357"/>
    <w:link w:val="1356"/>
    <w:qFormat/>
    <w:pPr>
      <w:ind w:firstLine="480"/>
      <w:spacing w:line="360" w:lineRule="auto"/>
    </w:pPr>
    <w:rPr>
      <w:rFonts w:ascii="宋体" w:hAnsi="宋体"/>
      <w:sz w:val="24"/>
      <w:lang w:val="en-GB"/>
    </w:rPr>
  </w:style>
  <w:style w:type="character" w:styleId="1358">
    <w:name w:val="标题 3 Char"/>
    <w:next w:val="1358"/>
    <w:link w:val="1136"/>
    <w:qFormat/>
    <w:rPr>
      <w:rFonts w:ascii="宋体" w:eastAsia="宋体"/>
      <w:b/>
      <w:sz w:val="24"/>
      <w:u w:val="single"/>
      <w:lang w:val="en-US" w:eastAsia="zh-CN" w:bidi="ar-SA"/>
    </w:rPr>
  </w:style>
  <w:style w:type="character" w:styleId="1359">
    <w:name w:val="正文缩进 Char"/>
    <w:next w:val="1359"/>
    <w:link w:val="1136"/>
    <w:qFormat/>
    <w:rPr>
      <w:rFonts w:ascii="宋体" w:eastAsia="宋体"/>
      <w:sz w:val="24"/>
      <w:szCs w:val="24"/>
      <w:lang w:val="en-US" w:eastAsia="zh-CN" w:bidi="ar-SA"/>
    </w:rPr>
  </w:style>
  <w:style w:type="character" w:styleId="1360">
    <w:name w:val="Char Char111"/>
    <w:next w:val="1360"/>
    <w:link w:val="1136"/>
    <w:qFormat/>
    <w:rPr>
      <w:rFonts w:ascii="宋体" w:eastAsia="宋体"/>
      <w:b/>
      <w:sz w:val="24"/>
      <w:u w:val="single"/>
      <w:lang w:val="en-US" w:eastAsia="zh-CN" w:bidi="ar-SA"/>
    </w:rPr>
  </w:style>
  <w:style w:type="character" w:styleId="1361">
    <w:name w:val="正文文本缩进 Char"/>
    <w:next w:val="1361"/>
    <w:link w:val="1136"/>
    <w:qFormat/>
    <w:rPr>
      <w:rFonts w:eastAsia="宋体"/>
      <w:sz w:val="24"/>
      <w:szCs w:val="24"/>
      <w:lang w:val="en-US" w:eastAsia="zh-CN" w:bidi="ar-SA"/>
    </w:rPr>
  </w:style>
  <w:style w:type="character" w:styleId="1362">
    <w:name w:val="列出段落 Char"/>
    <w:next w:val="1362"/>
    <w:link w:val="1136"/>
    <w:qFormat/>
    <w:rPr>
      <w:rFonts w:ascii="Calibri" w:hAnsi="Calibri" w:eastAsia="宋体"/>
      <w:sz w:val="21"/>
      <w:szCs w:val="22"/>
      <w:lang w:val="en-US" w:eastAsia="zh-CN" w:bidi="ar-SA"/>
    </w:rPr>
  </w:style>
  <w:style w:type="character" w:styleId="1363">
    <w:name w:val="页眉 Char"/>
    <w:next w:val="1363"/>
    <w:link w:val="1136"/>
    <w:qFormat/>
    <w:rPr>
      <w:rFonts w:eastAsia="宋体"/>
      <w:sz w:val="18"/>
      <w:szCs w:val="18"/>
      <w:lang w:val="en-US" w:eastAsia="zh-CN" w:bidi="ar-SA"/>
    </w:rPr>
  </w:style>
  <w:style w:type="character" w:styleId="1364">
    <w:name w:val="标题 2 Char"/>
    <w:next w:val="1364"/>
    <w:link w:val="1136"/>
    <w:qFormat/>
    <w:rPr>
      <w:rFonts w:ascii="Arial" w:hAnsi="Arial" w:eastAsia="黑体"/>
      <w:b/>
      <w:sz w:val="30"/>
      <w:lang w:val="en-US" w:eastAsia="zh-CN" w:bidi="ar-SA"/>
    </w:rPr>
  </w:style>
  <w:style w:type="paragraph" w:styleId="1365">
    <w:name w:val="字元 字元2"/>
    <w:basedOn w:val="1136"/>
    <w:next w:val="1365"/>
    <w:link w:val="1136"/>
    <w:qFormat/>
    <w:rPr>
      <w:rFonts w:ascii="Tahoma" w:hAnsi="Tahoma"/>
      <w:sz w:val="24"/>
      <w:szCs w:val="20"/>
    </w:rPr>
  </w:style>
  <w:style w:type="paragraph" w:styleId="1366">
    <w:name w:val="Char3 Char Char Char2"/>
    <w:basedOn w:val="1136"/>
    <w:next w:val="1366"/>
    <w:link w:val="1136"/>
    <w:qFormat/>
    <w:rPr>
      <w:rFonts w:ascii="Tahoma" w:hAnsi="Tahoma"/>
      <w:sz w:val="24"/>
      <w:szCs w:val="20"/>
    </w:rPr>
  </w:style>
  <w:style w:type="paragraph" w:styleId="1367">
    <w:name w:val="正文文本缩进2"/>
    <w:basedOn w:val="1136"/>
    <w:next w:val="1367"/>
    <w:link w:val="1136"/>
    <w:qFormat/>
    <w:pPr>
      <w:ind w:firstLine="480"/>
      <w:spacing w:line="480" w:lineRule="exact"/>
    </w:pPr>
    <w:rPr>
      <w:rFonts w:ascii="宋体" w:hAnsi="宋体"/>
      <w:sz w:val="24"/>
      <w:lang w:val="zh-CN" w:eastAsia="zh-CN"/>
    </w:rPr>
  </w:style>
  <w:style w:type="paragraph" w:styleId="1368">
    <w:name w:val="Char3"/>
    <w:basedOn w:val="1136"/>
    <w:next w:val="1368"/>
    <w:link w:val="1136"/>
    <w:qFormat/>
    <w:pPr>
      <w:tabs>
        <w:tab w:val="left" w:pos="360" w:leader="none"/>
      </w:tabs>
    </w:pPr>
    <w:rPr>
      <w:sz w:val="24"/>
    </w:rPr>
  </w:style>
  <w:style w:type="paragraph" w:styleId="1369">
    <w:name w:val="Char Char Char Char Char Char Char Char Char Char Char Char Char Char Char Char1"/>
    <w:basedOn w:val="1136"/>
    <w:next w:val="1369"/>
    <w:link w:val="1136"/>
    <w:qFormat/>
    <w:pPr>
      <w:jc w:val="center"/>
      <w:spacing w:after="160" w:line="240" w:lineRule="exact"/>
      <w:widowControl/>
    </w:pPr>
    <w:rPr>
      <w:rFonts w:ascii="宋体" w:hAnsi="宋体"/>
      <w:b/>
      <w:sz w:val="30"/>
      <w:szCs w:val="30"/>
      <w:lang w:eastAsia="en-US"/>
    </w:rPr>
  </w:style>
  <w:style w:type="paragraph" w:styleId="1370">
    <w:name w:val="Char Char1 Char Char Char Char Char Char1"/>
    <w:basedOn w:val="1136"/>
    <w:next w:val="1370"/>
    <w:link w:val="1136"/>
    <w:qFormat/>
    <w:pPr>
      <w:jc w:val="left"/>
      <w:spacing w:after="160" w:line="240" w:lineRule="exact"/>
      <w:widowControl/>
    </w:pPr>
    <w:rPr>
      <w:rFonts w:ascii="Verdana" w:hAnsi="Verdana" w:eastAsia="仿宋_GB2312"/>
      <w:sz w:val="24"/>
      <w:szCs w:val="20"/>
      <w:lang w:eastAsia="en-US"/>
    </w:rPr>
  </w:style>
  <w:style w:type="paragraph" w:styleId="1371">
    <w:name w:val="列出段落2"/>
    <w:basedOn w:val="1136"/>
    <w:next w:val="1371"/>
    <w:link w:val="1136"/>
    <w:qFormat/>
    <w:pPr>
      <w:ind w:firstLine="420"/>
    </w:pPr>
    <w:rPr>
      <w:rFonts w:ascii="Calibri" w:hAnsi="Calibri"/>
      <w:szCs w:val="22"/>
    </w:rPr>
  </w:style>
  <w:style w:type="paragraph" w:styleId="1372">
    <w:name w:val="Char Char Char1 Char2"/>
    <w:basedOn w:val="1136"/>
    <w:next w:val="1372"/>
    <w:link w:val="1136"/>
    <w:qFormat/>
    <w:rPr>
      <w:rFonts w:ascii="Tahoma" w:hAnsi="Tahoma"/>
      <w:sz w:val="24"/>
      <w:szCs w:val="20"/>
    </w:rPr>
  </w:style>
  <w:style w:type="paragraph" w:styleId="1373">
    <w:name w:val="Char Char Char2"/>
    <w:basedOn w:val="1136"/>
    <w:next w:val="1373"/>
    <w:link w:val="1136"/>
    <w:qFormat/>
    <w:rPr>
      <w:rFonts w:ascii="Tahoma" w:hAnsi="Tahoma"/>
      <w:sz w:val="24"/>
      <w:szCs w:val="20"/>
    </w:rPr>
  </w:style>
  <w:style w:type="paragraph" w:styleId="1374">
    <w:name w:val="Char Char Char Char Char Char Char2"/>
    <w:basedOn w:val="1136"/>
    <w:next w:val="1374"/>
    <w:link w:val="1136"/>
    <w:qFormat/>
    <w:pPr>
      <w:ind w:firstLine="200"/>
      <w:spacing w:line="360" w:lineRule="auto"/>
    </w:pPr>
    <w:rPr>
      <w:rFonts w:eastAsia="仿宋_GB2312"/>
      <w:sz w:val="24"/>
    </w:rPr>
  </w:style>
  <w:style w:type="paragraph" w:styleId="1375">
    <w:name w:val="正文缩进2"/>
    <w:basedOn w:val="1136"/>
    <w:next w:val="1375"/>
    <w:link w:val="1136"/>
    <w:qFormat/>
    <w:pPr>
      <w:ind w:firstLine="567"/>
      <w:spacing w:line="480" w:lineRule="exact"/>
      <w:widowControl/>
    </w:pPr>
    <w:rPr>
      <w:rFonts w:ascii="宋体"/>
      <w:color w:val="000000"/>
      <w:sz w:val="28"/>
      <w:szCs w:val="20"/>
      <w:lang w:val="zh-CN" w:eastAsia="zh-CN"/>
    </w:rPr>
  </w:style>
  <w:style w:type="paragraph" w:styleId="1376">
    <w:name w:val="Revision"/>
    <w:next w:val="1376"/>
    <w:link w:val="1136"/>
    <w:qFormat/>
    <w:rPr>
      <w:sz w:val="21"/>
      <w:szCs w:val="24"/>
      <w:lang w:val="en-US" w:eastAsia="zh-CN" w:bidi="ar-SA"/>
    </w:rPr>
  </w:style>
  <w:style w:type="paragraph" w:styleId="1377">
    <w:name w:val="Char22"/>
    <w:basedOn w:val="1136"/>
    <w:next w:val="1377"/>
    <w:link w:val="1136"/>
    <w:qFormat/>
    <w:rPr>
      <w:rFonts w:ascii="Tahoma" w:hAnsi="Tahoma"/>
      <w:sz w:val="24"/>
      <w:szCs w:val="20"/>
    </w:rPr>
  </w:style>
  <w:style w:type="paragraph" w:styleId="1378">
    <w:name w:val="Char Char Char Char Char Char Char Char Char Char2"/>
    <w:basedOn w:val="1136"/>
    <w:next w:val="1378"/>
    <w:link w:val="1136"/>
    <w:qFormat/>
    <w:rPr>
      <w:rFonts w:ascii="宋体" w:hAnsi="宋体" w:cs="Courier New"/>
      <w:sz w:val="32"/>
      <w:szCs w:val="32"/>
    </w:rPr>
  </w:style>
  <w:style w:type="paragraph" w:styleId="1379">
    <w:name w:val="Char2 Char Char Char Char Char Char1"/>
    <w:basedOn w:val="1136"/>
    <w:next w:val="1379"/>
    <w:link w:val="1136"/>
    <w:qFormat/>
    <w:pPr>
      <w:jc w:val="center"/>
      <w:spacing w:line="400" w:lineRule="exact"/>
      <w:widowControl/>
    </w:pPr>
  </w:style>
  <w:style w:type="character" w:styleId="1380">
    <w:name w:val="页脚 Char"/>
    <w:next w:val="1380"/>
    <w:link w:val="1136"/>
    <w:qFormat/>
    <w:rPr>
      <w:rFonts w:ascii="宋体" w:eastAsia="宋体"/>
      <w:sz w:val="18"/>
      <w:lang w:val="en-US" w:eastAsia="zh-CN" w:bidi="ar-SA"/>
    </w:rPr>
  </w:style>
  <w:style w:type="paragraph" w:styleId="1381">
    <w:name w:val="Char Char41"/>
    <w:basedOn w:val="1136"/>
    <w:next w:val="1381"/>
    <w:link w:val="1136"/>
    <w:qFormat/>
    <w:pPr>
      <w:jc w:val="center"/>
      <w:spacing w:line="400" w:lineRule="exact"/>
      <w:widowControl/>
    </w:pPr>
  </w:style>
  <w:style w:type="character" w:styleId="1382">
    <w:name w:val="批注文字 Char"/>
    <w:next w:val="1382"/>
    <w:link w:val="1136"/>
    <w:uiPriority w:val="99"/>
    <w:qFormat/>
    <w:rPr>
      <w:sz w:val="21"/>
      <w:szCs w:val="24"/>
    </w:rPr>
  </w:style>
  <w:style w:type="character" w:styleId="1383">
    <w:name w:val="标题 Char"/>
    <w:next w:val="1383"/>
    <w:link w:val="1136"/>
    <w:qFormat/>
    <w:rPr>
      <w:b/>
      <w:sz w:val="32"/>
    </w:rPr>
  </w:style>
  <w:style w:type="paragraph" w:styleId="1384">
    <w:name w:val="图例"/>
    <w:basedOn w:val="1136"/>
    <w:next w:val="1384"/>
    <w:link w:val="1136"/>
    <w:qFormat/>
    <w:pPr>
      <w:jc w:val="center"/>
      <w:spacing w:before="120" w:after="120" w:line="360" w:lineRule="auto"/>
    </w:pPr>
    <w:rPr>
      <w:rFonts w:eastAsia="仿宋_GB2312"/>
      <w:b/>
      <w:sz w:val="24"/>
      <w:szCs w:val="20"/>
    </w:rPr>
  </w:style>
  <w:style w:type="paragraph" w:styleId="1385">
    <w:name w:val="Table Paragraph"/>
    <w:basedOn w:val="1136"/>
    <w:next w:val="1385"/>
    <w:link w:val="1136"/>
    <w:uiPriority w:val="1"/>
    <w:qFormat/>
    <w:pPr>
      <w:jc w:val="left"/>
    </w:pPr>
    <w:rPr>
      <w:rFonts w:ascii="宋体" w:hAnsi="宋体" w:cs="宋体"/>
      <w:sz w:val="22"/>
      <w:szCs w:val="22"/>
      <w:lang w:eastAsia="en-US"/>
    </w:rPr>
  </w:style>
  <w:style w:type="table" w:styleId="1386">
    <w:name w:val="Table Normal"/>
    <w:next w:val="1386"/>
    <w:link w:val="1136"/>
    <w:uiPriority w:val="2"/>
    <w:semiHidden/>
    <w:qFormat/>
    <w:pPr>
      <w:widowControl w:val="off"/>
    </w:pPr>
    <w:rPr>
      <w:rFonts w:ascii="Calibri" w:hAnsi="Calibri"/>
      <w:sz w:val="22"/>
      <w:szCs w:val="22"/>
      <w:lang w:val="en-US" w:eastAsia="en-US" w:bidi="ar-SA"/>
    </w:rPr>
    <w:tblPr/>
  </w:style>
  <w:style w:type="paragraph" w:styleId="1387">
    <w:name w:val="成文日期"/>
    <w:basedOn w:val="1136"/>
    <w:next w:val="1387"/>
    <w:link w:val="1388"/>
    <w:qFormat/>
    <w:pPr>
      <w:ind w:right="400" w:firstLine="200"/>
      <w:jc w:val="right"/>
      <w:spacing w:line="570" w:lineRule="exact"/>
    </w:pPr>
    <w:rPr>
      <w:rFonts w:ascii="仿宋_GB2312" w:eastAsia="仿宋_GB2312"/>
      <w:sz w:val="32"/>
      <w:szCs w:val="20"/>
    </w:rPr>
  </w:style>
  <w:style w:type="character" w:styleId="1388">
    <w:name w:val="成文日期 Char"/>
    <w:next w:val="1388"/>
    <w:link w:val="1387"/>
    <w:rPr>
      <w:rFonts w:ascii="仿宋_GB2312" w:eastAsia="仿宋_GB2312"/>
      <w:sz w:val="32"/>
    </w:rPr>
  </w:style>
  <w:style w:type="character" w:styleId="1389">
    <w:name w:val="font31"/>
    <w:next w:val="1389"/>
    <w:link w:val="1136"/>
    <w:qFormat/>
    <w:rPr>
      <w:rFonts w:ascii="仿宋_GB2312" w:eastAsia="仿宋_GB2312" w:cs="仿宋_GB2312"/>
      <w:color w:val="000000"/>
      <w:sz w:val="22"/>
      <w:szCs w:val="22"/>
      <w:u w:val="none"/>
    </w:rPr>
  </w:style>
  <w:style w:type="paragraph" w:styleId="1390">
    <w:name w:val="Í¼±íÕýÎÄ"/>
    <w:basedOn w:val="1136"/>
    <w:next w:val="1151"/>
    <w:link w:val="1136"/>
    <w:qFormat/>
    <w:pPr>
      <w:ind w:firstLine="420"/>
    </w:pPr>
    <w:rPr>
      <w:sz w:val="24"/>
      <w:szCs w:val="20"/>
    </w:rPr>
  </w:style>
  <w:style w:type="paragraph" w:styleId="1391">
    <w:name w:val="材料标题"/>
    <w:basedOn w:val="1136"/>
    <w:next w:val="1391"/>
    <w:link w:val="1136"/>
    <w:qFormat/>
    <w:pPr>
      <w:ind w:firstLine="0"/>
      <w:jc w:val="center"/>
      <w:spacing w:line="700" w:lineRule="exact"/>
    </w:pPr>
    <w:rPr>
      <w:rFonts w:ascii="方正小标宋简体" w:eastAsia="方正小标宋简体"/>
      <w:color w:val="000000"/>
      <w:sz w:val="44"/>
      <w:szCs w:val="44"/>
    </w:rPr>
  </w:style>
  <w:style w:type="paragraph" w:styleId="1392">
    <w:name w:val="修订"/>
    <w:next w:val="1392"/>
    <w:link w:val="1136"/>
    <w:uiPriority w:val="99"/>
    <w:unhideWhenUsed/>
    <w:rPr>
      <w:sz w:val="21"/>
      <w:szCs w:val="24"/>
      <w:lang w:val="en-US" w:eastAsia="zh-CN" w:bidi="ar-SA"/>
    </w:rPr>
  </w:style>
  <w:style w:type="character" w:styleId="1393">
    <w:name w:val="current"/>
    <w:next w:val="1393"/>
    <w:link w:val="1136"/>
    <w:rPr>
      <w:b/>
      <w:bCs/>
      <w:color w:val="05a7d8"/>
      <w:sz w:val="18"/>
      <w:szCs w:val="18"/>
    </w:rPr>
  </w:style>
  <w:style w:type="character" w:styleId="1394">
    <w:name w:val="l-btn-left"/>
    <w:next w:val="1394"/>
    <w:link w:val="1136"/>
  </w:style>
  <w:style w:type="character" w:styleId="1395">
    <w:name w:val="l-btn-text36"/>
    <w:next w:val="1395"/>
    <w:link w:val="1136"/>
  </w:style>
  <w:style w:type="paragraph" w:styleId="1396">
    <w:name w:val="null3"/>
    <w:next w:val="1396"/>
    <w:link w:val="1136"/>
    <w:qFormat/>
    <w:rPr>
      <w:rFonts w:hint="eastAsia" w:ascii="Calibri" w:hAnsi="Calibri"/>
      <w:lang w:val="en-US" w:eastAsia="en-US" w:bidi="ar-SA"/>
    </w:rPr>
  </w:style>
  <w:style w:type="paragraph" w:styleId="1397">
    <w:name w:val="正文 A"/>
    <w:next w:val="1398"/>
    <w:link w:val="1136"/>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98">
    <w:name w:val="引文目录1"/>
    <w:next w:val="1397"/>
    <w:link w:val="1136"/>
    <w:qFormat/>
    <w:pPr>
      <w:ind w:left="420"/>
      <w:jc w:val="both"/>
      <w:widowControl w:val="off"/>
    </w:pPr>
    <w:rPr>
      <w:rFonts w:ascii="Times New Roman" w:hAnsi="Times New Roman" w:eastAsia="Times New Roman" w:cs="Times New Roman"/>
      <w:color w:val="000000"/>
      <w:sz w:val="21"/>
      <w:szCs w:val="21"/>
      <w:lang w:val="en-US" w:eastAsia="zh-CN" w:bidi="ar-SA"/>
    </w:rPr>
  </w:style>
  <w:style w:type="paragraph" w:styleId="1399">
    <w:name w:val="正文（缩进）"/>
    <w:basedOn w:val="1136"/>
    <w:next w:val="1399"/>
    <w:link w:val="1136"/>
    <w:qFormat/>
    <w:pPr>
      <w:ind w:firstLine="480"/>
      <w:spacing w:before="156" w:after="156"/>
    </w:pPr>
  </w:style>
  <w:style w:type="paragraph" w:styleId="1400">
    <w:name w:val="标题 31"/>
    <w:basedOn w:val="1136"/>
    <w:next w:val="1136"/>
    <w:link w:val="1136"/>
    <w:qFormat/>
    <w:pPr>
      <w:jc w:val="left"/>
      <w:keepLines/>
      <w:keepNext/>
      <w:spacing w:before="360" w:after="120"/>
      <w:outlineLvl w:val="2"/>
    </w:pPr>
    <w:rPr>
      <w:rFonts w:ascii="宋体"/>
      <w:b/>
      <w:sz w:val="24"/>
      <w:szCs w:val="20"/>
      <w:u w:val="single"/>
    </w:rPr>
  </w:style>
  <w:style w:type="character" w:styleId="1401" w:default="1">
    <w:name w:val="Default Paragraph Font"/>
    <w:uiPriority w:val="1"/>
    <w:semiHidden/>
    <w:unhideWhenUsed/>
  </w:style>
  <w:style w:type="numbering" w:styleId="1402" w:default="1">
    <w:name w:val="No List"/>
    <w:uiPriority w:val="99"/>
    <w:semiHidden/>
    <w:unhideWhenUsed/>
  </w:style>
  <w:style w:type="table" w:styleId="14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4</cp:revision>
  <dcterms:created xsi:type="dcterms:W3CDTF">2023-09-18T17:00:00Z</dcterms:created>
  <dcterms:modified xsi:type="dcterms:W3CDTF">2025-12-02T09:41:50Z</dcterms:modified>
</cp:coreProperties>
</file>